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Arial" w:cs="Arial" w:eastAsia="Arial" w:hAnsi="Arial"/>
          <w:b/>
          <w:bCs/>
          <w:sz w:val="30"/>
          <w:szCs w:val="30"/>
        </w:rPr>
        <w:t xml:space="preserve">CONTRATO MARCO DE PRESTACIÓN DE SERVICIOS</w:t>
      </w:r>
    </w:p>
    <w:p>
      <w:pPr>
        <w:spacing w:after="320"/>
        <w:jc w:val="center"/>
      </w:pPr>
      <w:r>
        <w:rPr>
          <w:rFonts w:ascii="Arial" w:cs="Arial" w:eastAsia="Arial" w:hAnsi="Arial"/>
          <w:color w:val="64748B"/>
          <w:sz w:val="20"/>
          <w:szCs w:val="20"/>
        </w:rPr>
        <w:t xml:space="preserve">SurveyAI · XTopo — Versión 2026-10-07</w:t>
      </w:r>
    </w:p>
    <w:p>
      <w:pPr>
        <w:spacing w:after="60"/>
      </w:pPr>
      <w:r>
        <w:rPr>
          <w:rFonts w:ascii="Arial" w:cs="Arial" w:eastAsia="Arial" w:hAnsi="Arial"/>
          <w:b/>
          <w:bCs/>
          <w:color w:val="C2410C"/>
          <w:sz w:val="18"/>
          <w:szCs w:val="18"/>
        </w:rPr>
        <w:t xml:space="preserve">NOTA DE USO (eliminar antes de firmar)</w:t>
      </w:r>
    </w:p>
    <w:p>
      <w:pPr>
        <w:shd w:fill="FFF4EC" w:color="auto" w:val="clear"/>
        <w:spacing w:after="120"/>
      </w:pPr>
      <w:r>
        <w:rPr>
          <w:rFonts w:ascii="Arial" w:cs="Arial" w:eastAsia="Arial" w:hAnsi="Arial"/>
          <w:b/>
          <w:bCs/>
          <w:i/>
          <w:iCs/>
          <w:color w:val="7C2D12"/>
          <w:sz w:val="18"/>
          <w:szCs w:val="18"/>
        </w:rPr>
        <w:t xml:space="preserve">Para empresas, consultoras y constructoras.</w:t>
      </w:r>
      <w:r>
        <w:rPr>
          <w:rFonts w:ascii="Arial" w:cs="Arial" w:eastAsia="Arial" w:hAnsi="Arial"/>
          <w:i/>
          <w:iCs/>
          <w:color w:val="7C2D12"/>
          <w:sz w:val="18"/>
          <w:szCs w:val="18"/>
        </w:rPr>
        <w:t xml:space="preserve"> Este es el contrato marco con el que SurveyAI · XTopo presta sus servicios a organizaciones. Cada compra concreta (plan, usuarios, precio, servicios) se pacta en una </w:t>
      </w:r>
      <w:r>
        <w:rPr>
          <w:rFonts w:ascii="Arial" w:cs="Arial" w:eastAsia="Arial" w:hAnsi="Arial"/>
          <w:b/>
          <w:bCs/>
          <w:i/>
          <w:iCs/>
          <w:color w:val="7C2D12"/>
          <w:sz w:val="18"/>
          <w:szCs w:val="18"/>
        </w:rPr>
        <w:t xml:space="preserve">Orden de Servicio</w:t>
      </w:r>
      <w:r>
        <w:rPr>
          <w:rFonts w:ascii="Arial" w:cs="Arial" w:eastAsia="Arial" w:hAnsi="Arial"/>
          <w:i/>
          <w:iCs/>
          <w:color w:val="7C2D12"/>
          <w:sz w:val="18"/>
          <w:szCs w:val="18"/>
        </w:rPr>
        <w:t xml:space="preserve"> (Anexo A). Los campos </w:t>
      </w:r>
      <w:r>
        <w:rPr>
          <w:rFonts w:ascii="Arial" w:cs="Arial" w:eastAsia="Arial" w:hAnsi="Arial"/>
          <w:i/>
          <w:iCs/>
          <w:color w:val="7C2D12"/>
          <w:sz w:val="18"/>
          <w:szCs w:val="18"/>
          <w:highlight w:val="yellow"/>
          <w:highlightCs w:val="yellow"/>
        </w:rPr>
        <w:t xml:space="preserve">[● así]</w:t>
      </w:r>
      <w:r>
        <w:rPr>
          <w:rFonts w:ascii="Arial" w:cs="Arial" w:eastAsia="Arial" w:hAnsi="Arial"/>
          <w:i/>
          <w:iCs/>
          <w:color w:val="7C2D12"/>
          <w:sz w:val="18"/>
          <w:szCs w:val="18"/>
        </w:rPr>
        <w:t xml:space="preserve"> se completan al firmar. Las entidades públicas contratan con su propio régimen (Ley 80 de 1993 y Ley 1150 de 2007); en ese caso este documento puede servir de anexo técnico.</w:t>
      </w:r>
    </w:p>
    <w:p>
      <w:pPr>
        <w:shd w:fill="FFF4EC" w:color="auto" w:val="clear"/>
        <w:spacing w:after="120"/>
      </w:pPr>
      <w:r>
        <w:rPr>
          <w:rFonts w:ascii="Arial" w:cs="Arial" w:eastAsia="Arial" w:hAnsi="Arial"/>
          <w:i/>
          <w:iCs/>
          <w:color w:val="7C2D12"/>
          <w:sz w:val="18"/>
          <w:szCs w:val="18"/>
        </w:rPr>
        <w:t xml:space="preserve">Es una plantilla de referencia: recomendamos que la revise el abogado de cada parte antes de firmarla. Adaptada a la ley colombiana a partir de la plantilla abierta (CC0) de MSA de General Legal.</w:t>
      </w:r>
    </w:p>
    <w:p>
      <w:pPr>
        <w:spacing w:after="140" w:line="300"/>
        <w:jc w:val="both"/>
      </w:pPr>
      <w:r>
        <w:rPr>
          <w:rFonts w:ascii="Arial" w:cs="Arial" w:eastAsia="Arial" w:hAnsi="Arial"/>
          <w:sz w:val="21"/>
          <w:szCs w:val="21"/>
        </w:rPr>
        <w:t xml:space="preserve">Entre los suscritos, por una parte, </w:t>
      </w:r>
      <w:r>
        <w:rPr>
          <w:rFonts w:ascii="Arial" w:cs="Arial" w:eastAsia="Arial" w:hAnsi="Arial"/>
          <w:b/>
          <w:bCs/>
          <w:sz w:val="21"/>
          <w:szCs w:val="21"/>
        </w:rPr>
        <w:t xml:space="preserve">[● Razón social o nombre del titular de SurveyAI · XTopo]</w:t>
      </w:r>
      <w:r>
        <w:rPr>
          <w:rFonts w:ascii="Arial" w:cs="Arial" w:eastAsia="Arial" w:hAnsi="Arial"/>
          <w:sz w:val="21"/>
          <w:szCs w:val="21"/>
        </w:rPr>
        <w:t xml:space="preserve">, identificado con </w:t>
      </w:r>
      <w:r>
        <w:rPr>
          <w:rFonts w:ascii="Arial" w:cs="Arial" w:eastAsia="Arial" w:hAnsi="Arial"/>
          <w:sz w:val="21"/>
          <w:szCs w:val="21"/>
          <w:highlight w:val="yellow"/>
          <w:highlightCs w:val="yellow"/>
        </w:rPr>
        <w:t xml:space="preserve">[● NIT o cédula de ciudadanía]</w:t>
      </w:r>
      <w:r>
        <w:rPr>
          <w:rFonts w:ascii="Arial" w:cs="Arial" w:eastAsia="Arial" w:hAnsi="Arial"/>
          <w:sz w:val="21"/>
          <w:szCs w:val="21"/>
        </w:rPr>
        <w:t xml:space="preserve"> n.º </w:t>
      </w:r>
      <w:r>
        <w:rPr>
          <w:rFonts w:ascii="Arial" w:cs="Arial" w:eastAsia="Arial" w:hAnsi="Arial"/>
          <w:sz w:val="21"/>
          <w:szCs w:val="21"/>
          <w:highlight w:val="yellow"/>
          <w:highlightCs w:val="yellow"/>
        </w:rPr>
        <w:t xml:space="preserve">[● número]</w:t>
      </w:r>
      <w:r>
        <w:rPr>
          <w:rFonts w:ascii="Arial" w:cs="Arial" w:eastAsia="Arial" w:hAnsi="Arial"/>
          <w:sz w:val="21"/>
          <w:szCs w:val="21"/>
        </w:rPr>
        <w:t xml:space="preserve">, con domicilio en </w:t>
      </w:r>
      <w:r>
        <w:rPr>
          <w:rFonts w:ascii="Arial" w:cs="Arial" w:eastAsia="Arial" w:hAnsi="Arial"/>
          <w:sz w:val="21"/>
          <w:szCs w:val="21"/>
          <w:highlight w:val="yellow"/>
          <w:highlightCs w:val="yellow"/>
        </w:rPr>
        <w:t xml:space="preserve">[● ciudad, dirección]</w:t>
      </w:r>
      <w:r>
        <w:rPr>
          <w:rFonts w:ascii="Arial" w:cs="Arial" w:eastAsia="Arial" w:hAnsi="Arial"/>
          <w:sz w:val="21"/>
          <w:szCs w:val="21"/>
        </w:rPr>
        <w:t xml:space="preserve">, representado por </w:t>
      </w:r>
      <w:r>
        <w:rPr>
          <w:rFonts w:ascii="Arial" w:cs="Arial" w:eastAsia="Arial" w:hAnsi="Arial"/>
          <w:sz w:val="21"/>
          <w:szCs w:val="21"/>
          <w:highlight w:val="yellow"/>
          <w:highlightCs w:val="yellow"/>
        </w:rPr>
        <w:t xml:space="preserve">[● nombre]</w:t>
      </w:r>
      <w:r>
        <w:rPr>
          <w:rFonts w:ascii="Arial" w:cs="Arial" w:eastAsia="Arial" w:hAnsi="Arial"/>
          <w:sz w:val="21"/>
          <w:szCs w:val="21"/>
        </w:rPr>
        <w:t xml:space="preserve">, identificado con cédula de ciudadanía n.º </w:t>
      </w:r>
      <w:r>
        <w:rPr>
          <w:rFonts w:ascii="Arial" w:cs="Arial" w:eastAsia="Arial" w:hAnsi="Arial"/>
          <w:sz w:val="21"/>
          <w:szCs w:val="21"/>
          <w:highlight w:val="yellow"/>
          <w:highlightCs w:val="yellow"/>
        </w:rPr>
        <w:t xml:space="preserve">[● número]</w:t>
      </w:r>
      <w:r>
        <w:rPr>
          <w:rFonts w:ascii="Arial" w:cs="Arial" w:eastAsia="Arial" w:hAnsi="Arial"/>
          <w:sz w:val="21"/>
          <w:szCs w:val="21"/>
        </w:rPr>
        <w:t xml:space="preserve">, quien en adelante se denominará </w:t>
      </w:r>
      <w:r>
        <w:rPr>
          <w:rFonts w:ascii="Arial" w:cs="Arial" w:eastAsia="Arial" w:hAnsi="Arial"/>
          <w:b/>
          <w:bCs/>
          <w:sz w:val="21"/>
          <w:szCs w:val="21"/>
        </w:rPr>
        <w:t xml:space="preserve">EL PROVEEDOR</w:t>
      </w:r>
      <w:r>
        <w:rPr>
          <w:rFonts w:ascii="Arial" w:cs="Arial" w:eastAsia="Arial" w:hAnsi="Arial"/>
          <w:sz w:val="21"/>
          <w:szCs w:val="21"/>
        </w:rPr>
        <w:t xml:space="preserve">; y por la otra, </w:t>
      </w:r>
      <w:r>
        <w:rPr>
          <w:rFonts w:ascii="Arial" w:cs="Arial" w:eastAsia="Arial" w:hAnsi="Arial"/>
          <w:b/>
          <w:bCs/>
          <w:sz w:val="21"/>
          <w:szCs w:val="21"/>
        </w:rPr>
        <w:t xml:space="preserve">[● Razón social del cliente]</w:t>
      </w:r>
      <w:r>
        <w:rPr>
          <w:rFonts w:ascii="Arial" w:cs="Arial" w:eastAsia="Arial" w:hAnsi="Arial"/>
          <w:sz w:val="21"/>
          <w:szCs w:val="21"/>
        </w:rPr>
        <w:t xml:space="preserve">, identificado con NIT n.º </w:t>
      </w:r>
      <w:r>
        <w:rPr>
          <w:rFonts w:ascii="Arial" w:cs="Arial" w:eastAsia="Arial" w:hAnsi="Arial"/>
          <w:sz w:val="21"/>
          <w:szCs w:val="21"/>
          <w:highlight w:val="yellow"/>
          <w:highlightCs w:val="yellow"/>
        </w:rPr>
        <w:t xml:space="preserve">[● número]</w:t>
      </w:r>
      <w:r>
        <w:rPr>
          <w:rFonts w:ascii="Arial" w:cs="Arial" w:eastAsia="Arial" w:hAnsi="Arial"/>
          <w:sz w:val="21"/>
          <w:szCs w:val="21"/>
        </w:rPr>
        <w:t xml:space="preserve">, con domicilio en </w:t>
      </w:r>
      <w:r>
        <w:rPr>
          <w:rFonts w:ascii="Arial" w:cs="Arial" w:eastAsia="Arial" w:hAnsi="Arial"/>
          <w:sz w:val="21"/>
          <w:szCs w:val="21"/>
          <w:highlight w:val="yellow"/>
          <w:highlightCs w:val="yellow"/>
        </w:rPr>
        <w:t xml:space="preserve">[● ciudad, dirección]</w:t>
      </w:r>
      <w:r>
        <w:rPr>
          <w:rFonts w:ascii="Arial" w:cs="Arial" w:eastAsia="Arial" w:hAnsi="Arial"/>
          <w:sz w:val="21"/>
          <w:szCs w:val="21"/>
        </w:rPr>
        <w:t xml:space="preserve">, representado por </w:t>
      </w:r>
      <w:r>
        <w:rPr>
          <w:rFonts w:ascii="Arial" w:cs="Arial" w:eastAsia="Arial" w:hAnsi="Arial"/>
          <w:sz w:val="21"/>
          <w:szCs w:val="21"/>
          <w:highlight w:val="yellow"/>
          <w:highlightCs w:val="yellow"/>
        </w:rPr>
        <w:t xml:space="preserve">[● nombre]</w:t>
      </w:r>
      <w:r>
        <w:rPr>
          <w:rFonts w:ascii="Arial" w:cs="Arial" w:eastAsia="Arial" w:hAnsi="Arial"/>
          <w:sz w:val="21"/>
          <w:szCs w:val="21"/>
        </w:rPr>
        <w:t xml:space="preserve">, identificado con cédula de ciudadanía n.º </w:t>
      </w:r>
      <w:r>
        <w:rPr>
          <w:rFonts w:ascii="Arial" w:cs="Arial" w:eastAsia="Arial" w:hAnsi="Arial"/>
          <w:sz w:val="21"/>
          <w:szCs w:val="21"/>
          <w:highlight w:val="yellow"/>
          <w:highlightCs w:val="yellow"/>
        </w:rPr>
        <w:t xml:space="preserve">[● número]</w:t>
      </w:r>
      <w:r>
        <w:rPr>
          <w:rFonts w:ascii="Arial" w:cs="Arial" w:eastAsia="Arial" w:hAnsi="Arial"/>
          <w:sz w:val="21"/>
          <w:szCs w:val="21"/>
        </w:rPr>
        <w:t xml:space="preserve">, quien en adelante se denominará </w:t>
      </w:r>
      <w:r>
        <w:rPr>
          <w:rFonts w:ascii="Arial" w:cs="Arial" w:eastAsia="Arial" w:hAnsi="Arial"/>
          <w:b/>
          <w:bCs/>
          <w:sz w:val="21"/>
          <w:szCs w:val="21"/>
        </w:rPr>
        <w:t xml:space="preserve">EL CLIENTE</w:t>
      </w:r>
      <w:r>
        <w:rPr>
          <w:rFonts w:ascii="Arial" w:cs="Arial" w:eastAsia="Arial" w:hAnsi="Arial"/>
          <w:sz w:val="21"/>
          <w:szCs w:val="21"/>
        </w:rPr>
        <w:t xml:space="preserve">, y conjuntamente </w:t>
      </w:r>
      <w:r>
        <w:rPr>
          <w:rFonts w:ascii="Arial" w:cs="Arial" w:eastAsia="Arial" w:hAnsi="Arial"/>
          <w:b/>
          <w:bCs/>
          <w:sz w:val="21"/>
          <w:szCs w:val="21"/>
        </w:rPr>
        <w:t xml:space="preserve">LAS PARTES</w:t>
      </w:r>
      <w:r>
        <w:rPr>
          <w:rFonts w:ascii="Arial" w:cs="Arial" w:eastAsia="Arial" w:hAnsi="Arial"/>
          <w:sz w:val="21"/>
          <w:szCs w:val="21"/>
        </w:rPr>
        <w:t xml:space="preserve">, hemos celebrado el presente Contrato Marco de Prestación de Servicios (el </w:t>
      </w:r>
      <w:r>
        <w:rPr>
          <w:rFonts w:ascii="Arial" w:cs="Arial" w:eastAsia="Arial" w:hAnsi="Arial"/>
          <w:b/>
          <w:bCs/>
          <w:sz w:val="21"/>
          <w:szCs w:val="21"/>
        </w:rPr>
        <w:t xml:space="preserve">"Contrato"</w:t>
      </w:r>
      <w:r>
        <w:rPr>
          <w:rFonts w:ascii="Arial" w:cs="Arial" w:eastAsia="Arial" w:hAnsi="Arial"/>
          <w:sz w:val="21"/>
          <w:szCs w:val="21"/>
        </w:rPr>
        <w:t xml:space="preserve">), que se regirá por las siguientes cláusulas y, en lo no previsto, por la ley colombiana.</w:t>
      </w:r>
    </w:p>
    <w:p>
      <w:pPr>
        <w:keepNext/>
        <w:spacing w:after="120" w:before="320"/>
      </w:pPr>
      <w:r>
        <w:rPr>
          <w:rFonts w:ascii="Arial" w:cs="Arial" w:eastAsia="Arial" w:hAnsi="Arial"/>
          <w:b/>
          <w:bCs/>
          <w:color w:val="1E293B"/>
          <w:sz w:val="23"/>
          <w:szCs w:val="23"/>
        </w:rPr>
        <w:t xml:space="preserve">PRIMERA. DEFINICIONES</w:t>
      </w:r>
    </w:p>
    <w:p>
      <w:pPr>
        <w:spacing w:after="140" w:line="300"/>
        <w:jc w:val="both"/>
      </w:pPr>
      <w:r>
        <w:rPr>
          <w:rFonts w:ascii="Arial" w:cs="Arial" w:eastAsia="Arial" w:hAnsi="Arial"/>
          <w:sz w:val="21"/>
          <w:szCs w:val="21"/>
        </w:rPr>
        <w:t xml:space="preserve">Los términos con mayúscula inicial tienen el significado de esta cláusula o el que se les dé donde aparecen por primera vez:</w:t>
      </w:r>
    </w:p>
    <w:p>
      <w:pPr>
        <w:pStyle w:val="ListParagraph"/>
        <w:numPr>
          <w:ilvl w:val="0"/>
          <w:numId w:val="1"/>
        </w:numPr>
        <w:spacing w:after="80"/>
        <w:jc w:val="both"/>
      </w:pPr>
      <w:r>
        <w:rPr>
          <w:rFonts w:ascii="Arial" w:cs="Arial" w:eastAsia="Arial" w:hAnsi="Arial"/>
          <w:b/>
          <w:bCs/>
          <w:sz w:val="21"/>
          <w:szCs w:val="21"/>
        </w:rPr>
        <w:t xml:space="preserve">Plataforma:</w:t>
      </w:r>
      <w:r>
        <w:rPr>
          <w:rFonts w:ascii="Arial" w:cs="Arial" w:eastAsia="Arial" w:hAnsi="Arial"/>
          <w:sz w:val="21"/>
          <w:szCs w:val="21"/>
        </w:rPr>
        <w:t xml:space="preserve"> el conjunto de herramientas web de topografía, geodesia, fotogrametría, control de obra y consulta técnica que EL PROVEEDOR ofrece bajo la marca SurveyAI · XTopo en www.xtopo.com.co, incluidas sus actualizaciones.</w:t>
      </w:r>
    </w:p>
    <w:p>
      <w:pPr>
        <w:pStyle w:val="ListParagraph"/>
        <w:numPr>
          <w:ilvl w:val="0"/>
          <w:numId w:val="1"/>
        </w:numPr>
        <w:spacing w:after="80"/>
        <w:jc w:val="both"/>
      </w:pPr>
      <w:r>
        <w:rPr>
          <w:rFonts w:ascii="Arial" w:cs="Arial" w:eastAsia="Arial" w:hAnsi="Arial"/>
          <w:b/>
          <w:bCs/>
          <w:sz w:val="21"/>
          <w:szCs w:val="21"/>
        </w:rPr>
        <w:t xml:space="preserve">Servicios:</w:t>
      </w:r>
      <w:r>
        <w:rPr>
          <w:rFonts w:ascii="Arial" w:cs="Arial" w:eastAsia="Arial" w:hAnsi="Arial"/>
          <w:sz w:val="21"/>
          <w:szCs w:val="21"/>
        </w:rPr>
        <w:t xml:space="preserve"> (a) el acceso y uso de la Plataforma por suscripción, y (b) los servicios profesionales que se pacten en una Orden de Servicio, como capacitación, implementación, procesamiento de datos, configuración o desarrollos a la medida.</w:t>
      </w:r>
    </w:p>
    <w:p>
      <w:pPr>
        <w:pStyle w:val="ListParagraph"/>
        <w:numPr>
          <w:ilvl w:val="0"/>
          <w:numId w:val="1"/>
        </w:numPr>
        <w:spacing w:after="80"/>
        <w:jc w:val="both"/>
      </w:pPr>
      <w:r>
        <w:rPr>
          <w:rFonts w:ascii="Arial" w:cs="Arial" w:eastAsia="Arial" w:hAnsi="Arial"/>
          <w:b/>
          <w:bCs/>
          <w:sz w:val="21"/>
          <w:szCs w:val="21"/>
        </w:rPr>
        <w:t xml:space="preserve">Orden de Servicio:</w:t>
      </w:r>
      <w:r>
        <w:rPr>
          <w:rFonts w:ascii="Arial" w:cs="Arial" w:eastAsia="Arial" w:hAnsi="Arial"/>
          <w:sz w:val="21"/>
          <w:szCs w:val="21"/>
        </w:rPr>
        <w:t xml:space="preserve"> el documento firmado por LAS PARTES que identifica los Servicios contratados, los Usuarios Autorizados, el precio y la vigencia. La primera está en el </w:t>
      </w:r>
      <w:r>
        <w:rPr>
          <w:rFonts w:ascii="Arial" w:cs="Arial" w:eastAsia="Arial" w:hAnsi="Arial"/>
          <w:b/>
          <w:bCs/>
          <w:sz w:val="21"/>
          <w:szCs w:val="21"/>
        </w:rPr>
        <w:t xml:space="preserve">Anexo A</w:t>
      </w:r>
      <w:r>
        <w:rPr>
          <w:rFonts w:ascii="Arial" w:cs="Arial" w:eastAsia="Arial" w:hAnsi="Arial"/>
          <w:sz w:val="21"/>
          <w:szCs w:val="21"/>
        </w:rPr>
        <w:t xml:space="preserve">.</w:t>
      </w:r>
    </w:p>
    <w:p>
      <w:pPr>
        <w:pStyle w:val="ListParagraph"/>
        <w:numPr>
          <w:ilvl w:val="0"/>
          <w:numId w:val="1"/>
        </w:numPr>
        <w:spacing w:after="80"/>
        <w:jc w:val="both"/>
      </w:pPr>
      <w:r>
        <w:rPr>
          <w:rFonts w:ascii="Arial" w:cs="Arial" w:eastAsia="Arial" w:hAnsi="Arial"/>
          <w:b/>
          <w:bCs/>
          <w:sz w:val="21"/>
          <w:szCs w:val="21"/>
        </w:rPr>
        <w:t xml:space="preserve">Usuario Autorizado:</w:t>
      </w:r>
      <w:r>
        <w:rPr>
          <w:rFonts w:ascii="Arial" w:cs="Arial" w:eastAsia="Arial" w:hAnsi="Arial"/>
          <w:sz w:val="21"/>
          <w:szCs w:val="21"/>
        </w:rPr>
        <w:t xml:space="preserve"> la persona natural (empleado, contratista o tercero autorizado por EL CLIENTE) a quien EL CLIENTE habilita una cuenta en la Plataforma dentro de los cupos de la Orden de Servicio.</w:t>
      </w:r>
    </w:p>
    <w:p>
      <w:pPr>
        <w:pStyle w:val="ListParagraph"/>
        <w:numPr>
          <w:ilvl w:val="0"/>
          <w:numId w:val="1"/>
        </w:numPr>
        <w:spacing w:after="80"/>
        <w:jc w:val="both"/>
      </w:pPr>
      <w:r>
        <w:rPr>
          <w:rFonts w:ascii="Arial" w:cs="Arial" w:eastAsia="Arial" w:hAnsi="Arial"/>
          <w:b/>
          <w:bCs/>
          <w:sz w:val="21"/>
          <w:szCs w:val="21"/>
        </w:rPr>
        <w:t xml:space="preserve">Datos del Cliente:</w:t>
      </w:r>
      <w:r>
        <w:rPr>
          <w:rFonts w:ascii="Arial" w:cs="Arial" w:eastAsia="Arial" w:hAnsi="Arial"/>
          <w:sz w:val="21"/>
          <w:szCs w:val="21"/>
        </w:rPr>
        <w:t xml:space="preserve"> la información, archivos y contenidos que EL CLIENTE o sus Usuarios Autorizados cargan, ingresan o generan en la Plataforma, como observaciones GNSS, coordenadas, planos, nubes de puntos, fotografías, cronogramas y registros de obra.</w:t>
      </w:r>
    </w:p>
    <w:p>
      <w:pPr>
        <w:pStyle w:val="ListParagraph"/>
        <w:numPr>
          <w:ilvl w:val="0"/>
          <w:numId w:val="1"/>
        </w:numPr>
        <w:spacing w:after="80"/>
        <w:jc w:val="both"/>
      </w:pPr>
      <w:r>
        <w:rPr>
          <w:rFonts w:ascii="Arial" w:cs="Arial" w:eastAsia="Arial" w:hAnsi="Arial"/>
          <w:b/>
          <w:bCs/>
          <w:sz w:val="21"/>
          <w:szCs w:val="21"/>
        </w:rPr>
        <w:t xml:space="preserve">Resultados:</w:t>
      </w:r>
      <w:r>
        <w:rPr>
          <w:rFonts w:ascii="Arial" w:cs="Arial" w:eastAsia="Arial" w:hAnsi="Arial"/>
          <w:sz w:val="21"/>
          <w:szCs w:val="21"/>
        </w:rPr>
        <w:t xml:space="preserve"> los cálculos, coordenadas, informes, archivos, respuestas del asistente de inteligencia artificial y demás productos que la Plataforma genera a partir de los Datos del Cliente.</w:t>
      </w:r>
    </w:p>
    <w:p>
      <w:pPr>
        <w:pStyle w:val="ListParagraph"/>
        <w:numPr>
          <w:ilvl w:val="0"/>
          <w:numId w:val="1"/>
        </w:numPr>
        <w:spacing w:after="80"/>
        <w:jc w:val="both"/>
      </w:pPr>
      <w:r>
        <w:rPr>
          <w:rFonts w:ascii="Arial" w:cs="Arial" w:eastAsia="Arial" w:hAnsi="Arial"/>
          <w:b/>
          <w:bCs/>
          <w:sz w:val="21"/>
          <w:szCs w:val="21"/>
        </w:rPr>
        <w:t xml:space="preserve">Datos Agregados:</w:t>
      </w:r>
      <w:r>
        <w:rPr>
          <w:rFonts w:ascii="Arial" w:cs="Arial" w:eastAsia="Arial" w:hAnsi="Arial"/>
          <w:sz w:val="21"/>
          <w:szCs w:val="21"/>
        </w:rPr>
        <w:t xml:space="preserve"> información estadística y de uso de la Plataforma, anonimizada y combinada de forma que no identifica a EL CLIENTE, a sus Usuarios Autorizados ni a ninguna persona.</w:t>
      </w:r>
    </w:p>
    <w:p>
      <w:pPr>
        <w:pStyle w:val="ListParagraph"/>
        <w:numPr>
          <w:ilvl w:val="0"/>
          <w:numId w:val="1"/>
        </w:numPr>
        <w:spacing w:after="80"/>
        <w:jc w:val="both"/>
      </w:pPr>
      <w:r>
        <w:rPr>
          <w:rFonts w:ascii="Arial" w:cs="Arial" w:eastAsia="Arial" w:hAnsi="Arial"/>
          <w:b/>
          <w:bCs/>
          <w:sz w:val="21"/>
          <w:szCs w:val="21"/>
        </w:rPr>
        <w:t xml:space="preserve">Documentación:</w:t>
      </w:r>
      <w:r>
        <w:rPr>
          <w:rFonts w:ascii="Arial" w:cs="Arial" w:eastAsia="Arial" w:hAnsi="Arial"/>
          <w:sz w:val="21"/>
          <w:szCs w:val="21"/>
        </w:rPr>
        <w:t xml:space="preserve"> las guías, manuales y ayudas en línea de la Plataforma que EL PROVEEDOR pone a disposición.</w:t>
      </w:r>
    </w:p>
    <w:p>
      <w:pPr>
        <w:pStyle w:val="ListParagraph"/>
        <w:numPr>
          <w:ilvl w:val="0"/>
          <w:numId w:val="1"/>
        </w:numPr>
        <w:spacing w:after="80"/>
        <w:jc w:val="both"/>
      </w:pPr>
      <w:r>
        <w:rPr>
          <w:rFonts w:ascii="Arial" w:cs="Arial" w:eastAsia="Arial" w:hAnsi="Arial"/>
          <w:b/>
          <w:bCs/>
          <w:sz w:val="21"/>
          <w:szCs w:val="21"/>
        </w:rPr>
        <w:t xml:space="preserve">Servicios de Terceros:</w:t>
      </w:r>
      <w:r>
        <w:rPr>
          <w:rFonts w:ascii="Arial" w:cs="Arial" w:eastAsia="Arial" w:hAnsi="Arial"/>
          <w:sz w:val="21"/>
          <w:szCs w:val="21"/>
        </w:rPr>
        <w:t xml:space="preserve"> servicios, datos o software de terceros de los que depende la Plataforma, como alojamiento en la nube, mapas e imágenes satelitales, modelos geodésicos oficiales (por ejemplo, del IGAC), productos de órbitas y relojes del IGS y modelos de inteligencia artificial.</w:t>
      </w:r>
    </w:p>
    <w:p>
      <w:pPr>
        <w:pStyle w:val="ListParagraph"/>
        <w:numPr>
          <w:ilvl w:val="0"/>
          <w:numId w:val="1"/>
        </w:numPr>
        <w:spacing w:after="80"/>
        <w:jc w:val="both"/>
      </w:pPr>
      <w:r>
        <w:rPr>
          <w:rFonts w:ascii="Arial" w:cs="Arial" w:eastAsia="Arial" w:hAnsi="Arial"/>
          <w:b/>
          <w:bCs/>
          <w:sz w:val="21"/>
          <w:szCs w:val="21"/>
        </w:rPr>
        <w:t xml:space="preserve">Datos Personales:</w:t>
      </w:r>
      <w:r>
        <w:rPr>
          <w:rFonts w:ascii="Arial" w:cs="Arial" w:eastAsia="Arial" w:hAnsi="Arial"/>
          <w:sz w:val="21"/>
          <w:szCs w:val="21"/>
        </w:rPr>
        <w:t xml:space="preserve"> cualquier información vinculada o que pueda asociarse a una o varias personas naturales determinadas o determinables, en los términos de la Ley 1581 de 2012.</w:t>
      </w:r>
    </w:p>
    <w:p>
      <w:pPr>
        <w:pStyle w:val="ListParagraph"/>
        <w:numPr>
          <w:ilvl w:val="0"/>
          <w:numId w:val="1"/>
        </w:numPr>
        <w:spacing w:after="80"/>
        <w:jc w:val="both"/>
      </w:pPr>
      <w:r>
        <w:rPr>
          <w:rFonts w:ascii="Arial" w:cs="Arial" w:eastAsia="Arial" w:hAnsi="Arial"/>
          <w:b/>
          <w:bCs/>
          <w:sz w:val="21"/>
          <w:szCs w:val="21"/>
        </w:rPr>
        <w:t xml:space="preserve">Normativa de Protección de Datos:</w:t>
      </w:r>
      <w:r>
        <w:rPr>
          <w:rFonts w:ascii="Arial" w:cs="Arial" w:eastAsia="Arial" w:hAnsi="Arial"/>
          <w:sz w:val="21"/>
          <w:szCs w:val="21"/>
        </w:rPr>
        <w:t xml:space="preserve"> la Ley Estatutaria 1581 de 2012, el Decreto 1074 de 2015 (que compila el Decreto 1377 de 2013) y las normas que los modifiquen, adicionen o reglamenten.</w:t>
      </w:r>
    </w:p>
    <w:p>
      <w:pPr>
        <w:pStyle w:val="ListParagraph"/>
        <w:numPr>
          <w:ilvl w:val="0"/>
          <w:numId w:val="1"/>
        </w:numPr>
        <w:spacing w:after="80"/>
        <w:jc w:val="both"/>
      </w:pPr>
      <w:r>
        <w:rPr>
          <w:rFonts w:ascii="Arial" w:cs="Arial" w:eastAsia="Arial" w:hAnsi="Arial"/>
          <w:b/>
          <w:bCs/>
          <w:sz w:val="21"/>
          <w:szCs w:val="21"/>
        </w:rPr>
        <w:t xml:space="preserve">Información Confidencial:</w:t>
      </w:r>
      <w:r>
        <w:rPr>
          <w:rFonts w:ascii="Arial" w:cs="Arial" w:eastAsia="Arial" w:hAnsi="Arial"/>
          <w:sz w:val="21"/>
          <w:szCs w:val="21"/>
        </w:rPr>
        <w:t xml:space="preserve"> la definida en la cláusula Décima.</w:t>
      </w:r>
    </w:p>
    <w:p>
      <w:pPr>
        <w:keepNext/>
        <w:spacing w:after="120" w:before="320"/>
      </w:pPr>
      <w:r>
        <w:rPr>
          <w:rFonts w:ascii="Arial" w:cs="Arial" w:eastAsia="Arial" w:hAnsi="Arial"/>
          <w:b/>
          <w:bCs/>
          <w:color w:val="1E293B"/>
          <w:sz w:val="23"/>
          <w:szCs w:val="23"/>
        </w:rPr>
        <w:t xml:space="preserve">SEGUNDA. OBJETO Y DOCUMENTOS DEL CONTRATO</w:t>
      </w:r>
    </w:p>
    <w:p>
      <w:pPr>
        <w:spacing w:after="140" w:line="300"/>
        <w:jc w:val="both"/>
      </w:pPr>
      <w:r>
        <w:rPr>
          <w:rFonts w:ascii="Arial" w:cs="Arial" w:eastAsia="Arial" w:hAnsi="Arial"/>
          <w:b/>
          <w:bCs/>
          <w:sz w:val="21"/>
          <w:szCs w:val="21"/>
        </w:rPr>
        <w:t xml:space="preserve">2.1 Objeto.</w:t>
      </w:r>
      <w:r>
        <w:rPr>
          <w:rFonts w:ascii="Arial" w:cs="Arial" w:eastAsia="Arial" w:hAnsi="Arial"/>
          <w:sz w:val="21"/>
          <w:szCs w:val="21"/>
        </w:rPr>
        <w:t xml:space="preserve"> EL PROVEEDOR prestará a EL CLIENTE los Servicios descritos en cada Orden de Servicio, con autonomía técnica y administrativa, y EL CLIENTE pagará el precio pactado en ella.</w:t>
      </w:r>
    </w:p>
    <w:p>
      <w:pPr>
        <w:spacing w:after="140" w:line="300"/>
        <w:jc w:val="both"/>
      </w:pPr>
      <w:r>
        <w:rPr>
          <w:rFonts w:ascii="Arial" w:cs="Arial" w:eastAsia="Arial" w:hAnsi="Arial"/>
          <w:b/>
          <w:bCs/>
          <w:sz w:val="21"/>
          <w:szCs w:val="21"/>
        </w:rPr>
        <w:t xml:space="preserve">2.2 Documentos.</w:t>
      </w:r>
      <w:r>
        <w:rPr>
          <w:rFonts w:ascii="Arial" w:cs="Arial" w:eastAsia="Arial" w:hAnsi="Arial"/>
          <w:sz w:val="21"/>
          <w:szCs w:val="21"/>
        </w:rPr>
        <w:t xml:space="preserve"> Forman parte del Contrato: (a) este documento; (b) las Órdenes de Servicio; (c) el Anexo B (Soporte y niveles de servicio); (d) el Anexo C (Contrato de transmisión de datos personales), y (e) las condiciones complementarias que LAS PARTES pacten por escrito en el Anexo D.</w:t>
      </w:r>
    </w:p>
    <w:p>
      <w:pPr>
        <w:spacing w:after="140" w:line="300"/>
        <w:jc w:val="both"/>
      </w:pPr>
      <w:r>
        <w:rPr>
          <w:rFonts w:ascii="Arial" w:cs="Arial" w:eastAsia="Arial" w:hAnsi="Arial"/>
          <w:b/>
          <w:bCs/>
          <w:sz w:val="21"/>
          <w:szCs w:val="21"/>
        </w:rPr>
        <w:t xml:space="preserve">2.3 Prelación.</w:t>
      </w:r>
      <w:r>
        <w:rPr>
          <w:rFonts w:ascii="Arial" w:cs="Arial" w:eastAsia="Arial" w:hAnsi="Arial"/>
          <w:sz w:val="21"/>
          <w:szCs w:val="21"/>
        </w:rPr>
        <w:t xml:space="preserve"> Si hay contradicción, prevalece este documento sobre las Órdenes de Servicio, salvo que una Orden de Servicio diga expresamente qué cláusula modifica. En materia de Datos Personales prevalece el Anexo C. Este Contrato prevalece, en la relación entre LAS PARTES, sobre los Términos y Condiciones de uso publicados en la Plataforma; cada Usuario Autorizado igualmente debe aceptar esos términos y la Política de Tratamiento de Datos Personales para usar su cuenta.</w:t>
      </w:r>
    </w:p>
    <w:p>
      <w:pPr>
        <w:keepNext/>
        <w:spacing w:after="120" w:before="320"/>
      </w:pPr>
      <w:r>
        <w:rPr>
          <w:rFonts w:ascii="Arial" w:cs="Arial" w:eastAsia="Arial" w:hAnsi="Arial"/>
          <w:b/>
          <w:bCs/>
          <w:color w:val="1E293B"/>
          <w:sz w:val="23"/>
          <w:szCs w:val="23"/>
        </w:rPr>
        <w:t xml:space="preserve">TERCERA. PRESTACIÓN DE LOS SERVICIOS</w:t>
      </w:r>
    </w:p>
    <w:p>
      <w:pPr>
        <w:spacing w:after="140" w:line="300"/>
        <w:jc w:val="both"/>
      </w:pPr>
      <w:r>
        <w:rPr>
          <w:rFonts w:ascii="Arial" w:cs="Arial" w:eastAsia="Arial" w:hAnsi="Arial"/>
          <w:b/>
          <w:bCs/>
          <w:sz w:val="21"/>
          <w:szCs w:val="21"/>
        </w:rPr>
        <w:t xml:space="preserve">3.1 Licencia de uso.</w:t>
      </w:r>
      <w:r>
        <w:rPr>
          <w:rFonts w:ascii="Arial" w:cs="Arial" w:eastAsia="Arial" w:hAnsi="Arial"/>
          <w:sz w:val="21"/>
          <w:szCs w:val="21"/>
        </w:rPr>
        <w:t xml:space="preserve"> Sujeto al pago y al cumplimiento de este Contrato, EL PROVEEDOR otorga a EL CLIENTE, durante la vigencia de cada Orden de Servicio, una licencia de uso no exclusiva, intransferible y sin derecho a sublicenciar para que sus Usuarios Autorizados accedan a la Plataforma por internet y la usen para las actividades propias de EL CLIENTE, conforme a la Documentación. La Plataforma se presta en la nube: EL CLIENTE no recibe copia del software ni de su código fuente.</w:t>
      </w:r>
    </w:p>
    <w:p>
      <w:pPr>
        <w:spacing w:after="140" w:line="300"/>
        <w:jc w:val="both"/>
      </w:pPr>
      <w:r>
        <w:rPr>
          <w:rFonts w:ascii="Arial" w:cs="Arial" w:eastAsia="Arial" w:hAnsi="Arial"/>
          <w:b/>
          <w:bCs/>
          <w:sz w:val="21"/>
          <w:szCs w:val="21"/>
        </w:rPr>
        <w:t xml:space="preserve">3.2 Usuarios Autorizados.</w:t>
      </w:r>
      <w:r>
        <w:rPr>
          <w:rFonts w:ascii="Arial" w:cs="Arial" w:eastAsia="Arial" w:hAnsi="Arial"/>
          <w:sz w:val="21"/>
          <w:szCs w:val="21"/>
        </w:rPr>
        <w:t xml:space="preserve"> Cada cuenta es personal e intransferible. EL CLIENTE puede reasignar cupos cuando una persona deje de requerir acceso. El uso por encima de los cupos contratados se facturará según la Orden de Servicio.</w:t>
      </w:r>
    </w:p>
    <w:p>
      <w:pPr>
        <w:spacing w:after="140" w:line="300"/>
        <w:jc w:val="both"/>
      </w:pPr>
      <w:r>
        <w:rPr>
          <w:rFonts w:ascii="Arial" w:cs="Arial" w:eastAsia="Arial" w:hAnsi="Arial"/>
          <w:b/>
          <w:bCs/>
          <w:sz w:val="21"/>
          <w:szCs w:val="21"/>
        </w:rPr>
        <w:t xml:space="preserve">3.3 Servicios profesionales.</w:t>
      </w:r>
      <w:r>
        <w:rPr>
          <w:rFonts w:ascii="Arial" w:cs="Arial" w:eastAsia="Arial" w:hAnsi="Arial"/>
          <w:sz w:val="21"/>
          <w:szCs w:val="21"/>
        </w:rPr>
        <w:t xml:space="preserve"> Los servicios profesionales se prestarán según el alcance, entregables y cronograma de la respectiva Orden de Servicio. EL CLIENTE dará oportunamente la información, accesos y colaboración que razonablemente se requieran; EL PROVEEDOR no responde por demoras causadas por su falta.</w:t>
      </w:r>
    </w:p>
    <w:p>
      <w:pPr>
        <w:spacing w:after="140" w:line="300"/>
        <w:jc w:val="both"/>
      </w:pPr>
      <w:r>
        <w:rPr>
          <w:rFonts w:ascii="Arial" w:cs="Arial" w:eastAsia="Arial" w:hAnsi="Arial"/>
          <w:b/>
          <w:bCs/>
          <w:sz w:val="21"/>
          <w:szCs w:val="21"/>
        </w:rPr>
        <w:t xml:space="preserve">3.4 Soporte y disponibilidad.</w:t>
      </w:r>
      <w:r>
        <w:rPr>
          <w:rFonts w:ascii="Arial" w:cs="Arial" w:eastAsia="Arial" w:hAnsi="Arial"/>
          <w:sz w:val="21"/>
          <w:szCs w:val="21"/>
        </w:rPr>
        <w:t xml:space="preserve"> EL PROVEEDOR prestará soporte y procurará la disponibilidad de la Plataforma conforme al </w:t>
      </w:r>
      <w:r>
        <w:rPr>
          <w:rFonts w:ascii="Arial" w:cs="Arial" w:eastAsia="Arial" w:hAnsi="Arial"/>
          <w:b/>
          <w:bCs/>
          <w:sz w:val="21"/>
          <w:szCs w:val="21"/>
        </w:rPr>
        <w:t xml:space="preserve">Anexo B</w:t>
      </w:r>
      <w:r>
        <w:rPr>
          <w:rFonts w:ascii="Arial" w:cs="Arial" w:eastAsia="Arial" w:hAnsi="Arial"/>
          <w:sz w:val="21"/>
          <w:szCs w:val="21"/>
        </w:rPr>
        <w:t xml:space="preserve">.</w:t>
      </w:r>
    </w:p>
    <w:p>
      <w:pPr>
        <w:spacing w:after="140" w:line="300"/>
        <w:jc w:val="both"/>
      </w:pPr>
      <w:r>
        <w:rPr>
          <w:rFonts w:ascii="Arial" w:cs="Arial" w:eastAsia="Arial" w:hAnsi="Arial"/>
          <w:b/>
          <w:bCs/>
          <w:sz w:val="21"/>
          <w:szCs w:val="21"/>
        </w:rPr>
        <w:t xml:space="preserve">3.5 Evolución de la Plataforma.</w:t>
      </w:r>
      <w:r>
        <w:rPr>
          <w:rFonts w:ascii="Arial" w:cs="Arial" w:eastAsia="Arial" w:hAnsi="Arial"/>
          <w:sz w:val="21"/>
          <w:szCs w:val="21"/>
        </w:rPr>
        <w:t xml:space="preserve"> EL PROVEEDOR puede mejorar, modificar o reemplazar funciones de la Plataforma. Si durante la vigencia de una Orden de Servicio retira o reduce de forma sustancial una función contratada en ella, avisará a EL CLIENTE con al menos treinta (30) días calendario de anticipación y EL CLIENTE podrá dar por terminada esa Orden de Servicio y recibir la devolución proporcional de lo pagado por anticipado y no consumido.</w:t>
      </w:r>
    </w:p>
    <w:p>
      <w:pPr>
        <w:spacing w:after="140" w:line="300"/>
        <w:jc w:val="both"/>
      </w:pPr>
      <w:r>
        <w:rPr>
          <w:rFonts w:ascii="Arial" w:cs="Arial" w:eastAsia="Arial" w:hAnsi="Arial"/>
          <w:b/>
          <w:bCs/>
          <w:sz w:val="21"/>
          <w:szCs w:val="21"/>
        </w:rPr>
        <w:t xml:space="preserve">3.6 Servicios de Terceros.</w:t>
      </w:r>
      <w:r>
        <w:rPr>
          <w:rFonts w:ascii="Arial" w:cs="Arial" w:eastAsia="Arial" w:hAnsi="Arial"/>
          <w:sz w:val="21"/>
          <w:szCs w:val="21"/>
        </w:rPr>
        <w:t xml:space="preserve"> La Plataforma usa Servicios de Terceros que EL PROVEEDOR no controla. EL PROVEEDOR los seleccionará con diligencia y procurará reemplazarlos si fallan, pero no garantiza su exactitud, continuidad ni actualización, ni responde por cambios en sus condiciones, interrupciones o decisiones de esos terceros. Los modelos y normas de entidades como el IGAC, el INVÍAS, la EAAB o el ICONTEC pertenecen a sus autores y se usan o referencian conforme a sus propias condiciones.</w:t>
      </w:r>
    </w:p>
    <w:p>
      <w:pPr>
        <w:spacing w:after="140" w:line="300"/>
        <w:jc w:val="both"/>
      </w:pPr>
      <w:r>
        <w:rPr>
          <w:rFonts w:ascii="Arial" w:cs="Arial" w:eastAsia="Arial" w:hAnsi="Arial"/>
          <w:b/>
          <w:bCs/>
          <w:sz w:val="21"/>
          <w:szCs w:val="21"/>
        </w:rPr>
        <w:t xml:space="preserve">3.7 Información guardada en el navegador.</w:t>
      </w:r>
      <w:r>
        <w:rPr>
          <w:rFonts w:ascii="Arial" w:cs="Arial" w:eastAsia="Arial" w:hAnsi="Arial"/>
          <w:sz w:val="21"/>
          <w:szCs w:val="21"/>
        </w:rPr>
        <w:t xml:space="preserve"> Algunos módulos (por ejemplo, Control de Obra, carteras y visores) guardan la información en el navegador o en el equipo del Usuario Autorizado y no en los servidores de EL PROVEEDOR. En esos módulos EL CLIENTE es responsable de exportar y respaldar su información, con las funciones de exportación que ofrece la Plataforma.</w:t>
      </w:r>
    </w:p>
    <w:p>
      <w:pPr>
        <w:keepNext/>
        <w:spacing w:after="120" w:before="320"/>
      </w:pPr>
      <w:r>
        <w:rPr>
          <w:rFonts w:ascii="Arial" w:cs="Arial" w:eastAsia="Arial" w:hAnsi="Arial"/>
          <w:b/>
          <w:bCs/>
          <w:color w:val="1E293B"/>
          <w:sz w:val="23"/>
          <w:szCs w:val="23"/>
        </w:rPr>
        <w:t xml:space="preserve">CUARTA. RESPONSABILIDAD PROFESIONAL SOBRE LOS RESULTADOS</w:t>
      </w:r>
    </w:p>
    <w:p>
      <w:pPr>
        <w:spacing w:after="140" w:line="300"/>
        <w:jc w:val="both"/>
      </w:pPr>
      <w:r>
        <w:rPr>
          <w:rFonts w:ascii="Arial" w:cs="Arial" w:eastAsia="Arial" w:hAnsi="Arial"/>
          <w:sz w:val="21"/>
          <w:szCs w:val="21"/>
        </w:rPr>
        <w:t xml:space="preserve">Los Resultados son </w:t>
      </w:r>
      <w:r>
        <w:rPr>
          <w:rFonts w:ascii="Arial" w:cs="Arial" w:eastAsia="Arial" w:hAnsi="Arial"/>
          <w:b/>
          <w:bCs/>
          <w:sz w:val="21"/>
          <w:szCs w:val="21"/>
        </w:rPr>
        <w:t xml:space="preserve">herramientas de apoyo</w:t>
      </w:r>
      <w:r>
        <w:rPr>
          <w:rFonts w:ascii="Arial" w:cs="Arial" w:eastAsia="Arial" w:hAnsi="Arial"/>
          <w:sz w:val="21"/>
          <w:szCs w:val="21"/>
        </w:rPr>
        <w:t xml:space="preserve">. No sustituyen el criterio, la verificación ni la firma de un profesional. La responsabilidad sobre el uso de los Resultados en cualquier estudio, diseño, levantamiento, obra, peritaje o trámite corresponde a EL CLIENTE y a los profesionales que designe, quienes deben verificarlos con métodos independientes y conforme a las normas técnicas y de ejercicio profesional aplicables, entre ellas la Ley 70 de 1979 y la Ley 842 de 2003. La exactitud de los Resultados depende de la calidad de los Datos del Cliente y de los Servicios de Terceros. Las respuestas del asistente de inteligencia artificial pueden contener errores o información desactualizada y deben verificarse siempre.</w:t>
      </w:r>
    </w:p>
    <w:p>
      <w:pPr>
        <w:keepNext/>
        <w:spacing w:after="120" w:before="320"/>
      </w:pPr>
      <w:r>
        <w:rPr>
          <w:rFonts w:ascii="Arial" w:cs="Arial" w:eastAsia="Arial" w:hAnsi="Arial"/>
          <w:b/>
          <w:bCs/>
          <w:color w:val="1E293B"/>
          <w:sz w:val="23"/>
          <w:szCs w:val="23"/>
        </w:rPr>
        <w:t xml:space="preserve">QUINTA. OBLIGACIONES Y RESTRICCIONES DE EL CLIENTE</w:t>
      </w:r>
    </w:p>
    <w:p>
      <w:pPr>
        <w:spacing w:after="140" w:line="300"/>
        <w:jc w:val="both"/>
      </w:pPr>
      <w:r>
        <w:rPr>
          <w:rFonts w:ascii="Arial" w:cs="Arial" w:eastAsia="Arial" w:hAnsi="Arial"/>
          <w:b/>
          <w:bCs/>
          <w:sz w:val="21"/>
          <w:szCs w:val="21"/>
        </w:rPr>
        <w:t xml:space="preserve">5.1 Obligaciones.</w:t>
      </w:r>
      <w:r>
        <w:rPr>
          <w:rFonts w:ascii="Arial" w:cs="Arial" w:eastAsia="Arial" w:hAnsi="Arial"/>
          <w:sz w:val="21"/>
          <w:szCs w:val="21"/>
        </w:rPr>
        <w:t xml:space="preserve"> EL CLIENTE se obliga a: (a) pagar el precio en la forma pactada; (b) usar la Plataforma conforme a la ley, a este Contrato y a la Documentación; (c) velar por que sus Usuarios Autorizados cumplan este Contrato, respondiendo por sus actos; (d) mantener la confidencialidad de las credenciales y avisar a EL PROVEEDOR sin demora de cualquier uso no autorizado o incidente de seguridad que conozca; (e) contar con las autorizaciones, licencias y permisos necesarios sobre los Datos del Cliente, incluidas las autorizaciones de los titulares de Datos Personales, y (f) designar un responsable de la relación contractual.</w:t>
      </w:r>
    </w:p>
    <w:p>
      <w:pPr>
        <w:spacing w:after="140" w:line="300"/>
        <w:jc w:val="both"/>
      </w:pPr>
      <w:r>
        <w:rPr>
          <w:rFonts w:ascii="Arial" w:cs="Arial" w:eastAsia="Arial" w:hAnsi="Arial"/>
          <w:b/>
          <w:bCs/>
          <w:sz w:val="21"/>
          <w:szCs w:val="21"/>
        </w:rPr>
        <w:t xml:space="preserve">5.2 Restricciones.</w:t>
      </w:r>
      <w:r>
        <w:rPr>
          <w:rFonts w:ascii="Arial" w:cs="Arial" w:eastAsia="Arial" w:hAnsi="Arial"/>
          <w:sz w:val="21"/>
          <w:szCs w:val="21"/>
        </w:rPr>
        <w:t xml:space="preserve"> Salvo lo que la ley permita de forma imperativa, EL CLIENTE no podrá ni permitirá que terceros: (a) den acceso a la Plataforma a personas distintas de los Usuarios Autorizados o compartan cuentas; (b) copien, modifiquen, traduzcan, descompilen o apliquen ingeniería inversa a la Plataforma o intenten obtener su código fuente; (c) revendan, alquilen o sublicencien la Plataforma; (d) eludan sus límites de uso o controles de seguridad, o accedan a funciones o datos no autorizados; (e) extraigan masivamente contenidos o usen la Plataforma para construir un servicio competidor; (f) carguen contenido ilícito, malicioso o que vulnere derechos de terceros, o (g) intenten manipular el asistente de inteligencia artificial para obtener información restringida.</w:t>
      </w:r>
    </w:p>
    <w:p>
      <w:pPr>
        <w:spacing w:after="140" w:line="300"/>
        <w:jc w:val="both"/>
      </w:pPr>
      <w:r>
        <w:rPr>
          <w:rFonts w:ascii="Arial" w:cs="Arial" w:eastAsia="Arial" w:hAnsi="Arial"/>
          <w:b/>
          <w:bCs/>
          <w:sz w:val="21"/>
          <w:szCs w:val="21"/>
        </w:rPr>
        <w:t xml:space="preserve">5.3 Datos sensibles.</w:t>
      </w:r>
      <w:r>
        <w:rPr>
          <w:rFonts w:ascii="Arial" w:cs="Arial" w:eastAsia="Arial" w:hAnsi="Arial"/>
          <w:sz w:val="21"/>
          <w:szCs w:val="21"/>
        </w:rPr>
        <w:t xml:space="preserve"> EL CLIENTE no cargará en la Plataforma datos sensibles ni datos de niños, niñas o adolescentes, salvo que una Orden de Servicio lo prevea expresamente con las garantías del Anexo C.</w:t>
      </w:r>
    </w:p>
    <w:p>
      <w:pPr>
        <w:keepNext/>
        <w:spacing w:after="120" w:before="320"/>
      </w:pPr>
      <w:r>
        <w:rPr>
          <w:rFonts w:ascii="Arial" w:cs="Arial" w:eastAsia="Arial" w:hAnsi="Arial"/>
          <w:b/>
          <w:bCs/>
          <w:color w:val="1E293B"/>
          <w:sz w:val="23"/>
          <w:szCs w:val="23"/>
        </w:rPr>
        <w:t xml:space="preserve">SEXTA. OBLIGACIONES DE EL PROVEEDOR</w:t>
      </w:r>
    </w:p>
    <w:p>
      <w:pPr>
        <w:spacing w:after="140" w:line="300"/>
        <w:jc w:val="both"/>
      </w:pPr>
      <w:r>
        <w:rPr>
          <w:rFonts w:ascii="Arial" w:cs="Arial" w:eastAsia="Arial" w:hAnsi="Arial"/>
          <w:sz w:val="21"/>
          <w:szCs w:val="21"/>
        </w:rPr>
        <w:t xml:space="preserve">EL PROVEEDOR se obliga a: (a) prestar los Servicios con la diligencia y el cuidado propios de un profesional de su ramo, conforme a la Orden de Servicio y la Documentación; (b) mantener las medidas de seguridad de la cláusula Undécima; (c) tratar los Datos Personales del Cliente únicamente como encargado y según el Anexo C; (d) guardar la confidencialidad de la información de EL CLIENTE; (e) avisar a EL CLIENTE de los incidentes de seguridad que afecten sus datos, en los términos del Anexo C; (f) contar con personal idóneo para la prestación de los Servicios, y (g) expedir factura electrónica de venta conforme a la regulación de la DIAN.</w:t>
      </w:r>
    </w:p>
    <w:p>
      <w:pPr>
        <w:keepNext/>
        <w:spacing w:after="120" w:before="320"/>
      </w:pPr>
      <w:r>
        <w:rPr>
          <w:rFonts w:ascii="Arial" w:cs="Arial" w:eastAsia="Arial" w:hAnsi="Arial"/>
          <w:b/>
          <w:bCs/>
          <w:color w:val="1E293B"/>
          <w:sz w:val="23"/>
          <w:szCs w:val="23"/>
        </w:rPr>
        <w:t xml:space="preserve">SÉPTIMA. PROPIEDAD INTELECTUAL</w:t>
      </w:r>
    </w:p>
    <w:p>
      <w:pPr>
        <w:spacing w:after="140" w:line="300"/>
        <w:jc w:val="both"/>
      </w:pPr>
      <w:r>
        <w:rPr>
          <w:rFonts w:ascii="Arial" w:cs="Arial" w:eastAsia="Arial" w:hAnsi="Arial"/>
          <w:b/>
          <w:bCs/>
          <w:sz w:val="21"/>
          <w:szCs w:val="21"/>
        </w:rPr>
        <w:t xml:space="preserve">7.1 De EL PROVEEDOR.</w:t>
      </w:r>
      <w:r>
        <w:rPr>
          <w:rFonts w:ascii="Arial" w:cs="Arial" w:eastAsia="Arial" w:hAnsi="Arial"/>
          <w:sz w:val="21"/>
          <w:szCs w:val="21"/>
        </w:rPr>
        <w:t xml:space="preserve"> La Plataforma, su software, código fuente, diseño, bases de datos, Documentación, guías, marcas y signos distintivos, y sus mejoras, son de EL PROVEEDOR o de sus licenciantes y están protegidos por la Ley 23 de 1982 y las Decisiones Andinas 351 de 1993 y 486 de 2000. Este Contrato no transfiere a EL CLIENTE ningún derecho distinto de la licencia de uso de la cláusula 3.1.</w:t>
      </w:r>
    </w:p>
    <w:p>
      <w:pPr>
        <w:spacing w:after="140" w:line="300"/>
        <w:jc w:val="both"/>
      </w:pPr>
      <w:r>
        <w:rPr>
          <w:rFonts w:ascii="Arial" w:cs="Arial" w:eastAsia="Arial" w:hAnsi="Arial"/>
          <w:b/>
          <w:bCs/>
          <w:sz w:val="21"/>
          <w:szCs w:val="21"/>
        </w:rPr>
        <w:t xml:space="preserve">7.2 De EL CLIENTE.</w:t>
      </w:r>
      <w:r>
        <w:rPr>
          <w:rFonts w:ascii="Arial" w:cs="Arial" w:eastAsia="Arial" w:hAnsi="Arial"/>
          <w:sz w:val="21"/>
          <w:szCs w:val="21"/>
        </w:rPr>
        <w:t xml:space="preserve"> Los Datos del Cliente y los Resultados son de EL CLIENTE, sin perjuicio de los derechos de terceros sobre los Servicios de Terceros incorporados en ellos. EL CLIENTE autoriza a EL PROVEEDOR a almacenarlos, procesarlos y reproducirlos únicamente en la medida necesaria para prestar los Servicios durante la vigencia del Contrato y el plazo de devolución de la cláusula 15.5.</w:t>
      </w:r>
    </w:p>
    <w:p>
      <w:pPr>
        <w:spacing w:after="140" w:line="300"/>
        <w:jc w:val="both"/>
      </w:pPr>
      <w:r>
        <w:rPr>
          <w:rFonts w:ascii="Arial" w:cs="Arial" w:eastAsia="Arial" w:hAnsi="Arial"/>
          <w:b/>
          <w:bCs/>
          <w:sz w:val="21"/>
          <w:szCs w:val="21"/>
        </w:rPr>
        <w:t xml:space="preserve">7.3 Datos Agregados.</w:t>
      </w:r>
      <w:r>
        <w:rPr>
          <w:rFonts w:ascii="Arial" w:cs="Arial" w:eastAsia="Arial" w:hAnsi="Arial"/>
          <w:sz w:val="21"/>
          <w:szCs w:val="21"/>
        </w:rPr>
        <w:t xml:space="preserve"> EL PROVEEDOR puede elaborar y usar Datos Agregados para operar, mantener y mejorar la Plataforma, siempre que no identifiquen a EL CLIENTE, a sus Usuarios Autorizados ni a ninguna persona, ni revelen Información Confidencial.</w:t>
      </w:r>
    </w:p>
    <w:p>
      <w:pPr>
        <w:spacing w:after="140" w:line="300"/>
        <w:jc w:val="both"/>
      </w:pPr>
      <w:r>
        <w:rPr>
          <w:rFonts w:ascii="Arial" w:cs="Arial" w:eastAsia="Arial" w:hAnsi="Arial"/>
          <w:b/>
          <w:bCs/>
          <w:sz w:val="21"/>
          <w:szCs w:val="21"/>
        </w:rPr>
        <w:t xml:space="preserve">7.4 Herramientas generales.</w:t>
      </w:r>
      <w:r>
        <w:rPr>
          <w:rFonts w:ascii="Arial" w:cs="Arial" w:eastAsia="Arial" w:hAnsi="Arial"/>
          <w:sz w:val="21"/>
          <w:szCs w:val="21"/>
        </w:rPr>
        <w:t xml:space="preserve"> Las metodologías, rutinas, plantillas y conocimientos generales que EL PROVEEDOR desarrolle o use al prestar los Servicios, que no contengan Datos del Cliente ni Información Confidencial de EL CLIENTE, siguen siendo de EL PROVEEDOR y puede usarlos con otros clientes.</w:t>
      </w:r>
    </w:p>
    <w:p>
      <w:pPr>
        <w:spacing w:after="140" w:line="300"/>
        <w:jc w:val="both"/>
      </w:pPr>
      <w:r>
        <w:rPr>
          <w:rFonts w:ascii="Arial" w:cs="Arial" w:eastAsia="Arial" w:hAnsi="Arial"/>
          <w:b/>
          <w:bCs/>
          <w:sz w:val="21"/>
          <w:szCs w:val="21"/>
        </w:rPr>
        <w:t xml:space="preserve">7.5 Desarrollos a la medida.</w:t>
      </w:r>
      <w:r>
        <w:rPr>
          <w:rFonts w:ascii="Arial" w:cs="Arial" w:eastAsia="Arial" w:hAnsi="Arial"/>
          <w:sz w:val="21"/>
          <w:szCs w:val="21"/>
        </w:rPr>
        <w:t xml:space="preserve"> Salvo que la Orden de Servicio pacte por escrito la cesión de derechos patrimoniales (artículo 183 de la Ley 23 de 1982), los desarrollos a la medida son de EL PROVEEDOR y EL CLIENTE recibe sobre ellos una licencia de uso no exclusiva por el tiempo de vigencia de la Orden de Servicio respectiva.</w:t>
      </w:r>
    </w:p>
    <w:p>
      <w:pPr>
        <w:spacing w:after="140" w:line="300"/>
        <w:jc w:val="both"/>
      </w:pPr>
      <w:r>
        <w:rPr>
          <w:rFonts w:ascii="Arial" w:cs="Arial" w:eastAsia="Arial" w:hAnsi="Arial"/>
          <w:b/>
          <w:bCs/>
          <w:sz w:val="21"/>
          <w:szCs w:val="21"/>
        </w:rPr>
        <w:t xml:space="preserve">7.6 Sugerencias.</w:t>
      </w:r>
      <w:r>
        <w:rPr>
          <w:rFonts w:ascii="Arial" w:cs="Arial" w:eastAsia="Arial" w:hAnsi="Arial"/>
          <w:sz w:val="21"/>
          <w:szCs w:val="21"/>
        </w:rPr>
        <w:t xml:space="preserve"> Si EL CLIENTE comparte ideas o sugerencias sobre la Plataforma, EL PROVEEDOR podrá usarlas libremente para mejorarla, sin que ello le otorgue derechos sobre los Datos del Cliente ni obligación de pago.</w:t>
      </w:r>
    </w:p>
    <w:p>
      <w:pPr>
        <w:keepNext/>
        <w:spacing w:after="120" w:before="320"/>
      </w:pPr>
      <w:r>
        <w:rPr>
          <w:rFonts w:ascii="Arial" w:cs="Arial" w:eastAsia="Arial" w:hAnsi="Arial"/>
          <w:b/>
          <w:bCs/>
          <w:color w:val="1E293B"/>
          <w:sz w:val="23"/>
          <w:szCs w:val="23"/>
        </w:rPr>
        <w:t xml:space="preserve">OCTAVA. PRECIO, FACTURACIÓN Y PAGO</w:t>
      </w:r>
    </w:p>
    <w:p>
      <w:pPr>
        <w:spacing w:after="140" w:line="300"/>
        <w:jc w:val="both"/>
      </w:pPr>
      <w:r>
        <w:rPr>
          <w:rFonts w:ascii="Arial" w:cs="Arial" w:eastAsia="Arial" w:hAnsi="Arial"/>
          <w:b/>
          <w:bCs/>
          <w:sz w:val="21"/>
          <w:szCs w:val="21"/>
        </w:rPr>
        <w:t xml:space="preserve">8.1 Precio.</w:t>
      </w:r>
      <w:r>
        <w:rPr>
          <w:rFonts w:ascii="Arial" w:cs="Arial" w:eastAsia="Arial" w:hAnsi="Arial"/>
          <w:sz w:val="21"/>
          <w:szCs w:val="21"/>
        </w:rPr>
        <w:t xml:space="preserve"> EL CLIENTE pagará el precio de cada Orden de Servicio en pesos colombianos, salvo pacto distinto. Los precios no incluyen el IVA ni los demás impuestos que se causen, que se liquidarán conforme a la ley.</w:t>
      </w:r>
    </w:p>
    <w:p>
      <w:pPr>
        <w:spacing w:after="140" w:line="300"/>
        <w:jc w:val="both"/>
      </w:pPr>
      <w:r>
        <w:rPr>
          <w:rFonts w:ascii="Arial" w:cs="Arial" w:eastAsia="Arial" w:hAnsi="Arial"/>
          <w:b/>
          <w:bCs/>
          <w:sz w:val="21"/>
          <w:szCs w:val="21"/>
        </w:rPr>
        <w:t xml:space="preserve">8.2 Facturación y plazo.</w:t>
      </w:r>
      <w:r>
        <w:rPr>
          <w:rFonts w:ascii="Arial" w:cs="Arial" w:eastAsia="Arial" w:hAnsi="Arial"/>
          <w:sz w:val="21"/>
          <w:szCs w:val="21"/>
        </w:rPr>
        <w:t xml:space="preserve"> EL PROVEEDOR expedirá factura electrónica de venta según la periodicidad de la Orden de Servicio. EL CLIENTE la pagará dentro de los treinta (30) días calendario siguientes a su recepción, salvo plazo distinto en la Orden de Servicio, que no podrá exceder el máximo previsto en la Ley 2024 de 2020 cuando EL PROVEEDOR tenga la calidad de micro, pequeña o mediana empresa. EL CLIENTE podrá practicar las retenciones que ordene la ley.</w:t>
      </w:r>
    </w:p>
    <w:p>
      <w:pPr>
        <w:spacing w:after="140" w:line="300"/>
        <w:jc w:val="both"/>
      </w:pPr>
      <w:r>
        <w:rPr>
          <w:rFonts w:ascii="Arial" w:cs="Arial" w:eastAsia="Arial" w:hAnsi="Arial"/>
          <w:b/>
          <w:bCs/>
          <w:sz w:val="21"/>
          <w:szCs w:val="21"/>
        </w:rPr>
        <w:t xml:space="preserve">8.3 Mora.</w:t>
      </w:r>
      <w:r>
        <w:rPr>
          <w:rFonts w:ascii="Arial" w:cs="Arial" w:eastAsia="Arial" w:hAnsi="Arial"/>
          <w:sz w:val="21"/>
          <w:szCs w:val="21"/>
        </w:rPr>
        <w:t xml:space="preserve"> Las sumas no pagadas a tiempo causarán intereses moratorios a la tasa máxima permitida por la ley (artículo 884 del Código de Comercio).</w:t>
      </w:r>
    </w:p>
    <w:p>
      <w:pPr>
        <w:spacing w:after="140" w:line="300"/>
        <w:jc w:val="both"/>
      </w:pPr>
      <w:r>
        <w:rPr>
          <w:rFonts w:ascii="Arial" w:cs="Arial" w:eastAsia="Arial" w:hAnsi="Arial"/>
          <w:b/>
          <w:bCs/>
          <w:sz w:val="21"/>
          <w:szCs w:val="21"/>
        </w:rPr>
        <w:t xml:space="preserve">8.4 Suspensión.</w:t>
      </w:r>
      <w:r>
        <w:rPr>
          <w:rFonts w:ascii="Arial" w:cs="Arial" w:eastAsia="Arial" w:hAnsi="Arial"/>
          <w:sz w:val="21"/>
          <w:szCs w:val="21"/>
        </w:rPr>
        <w:t xml:space="preserve"> Si EL CLIENTE tiene sumas vencidas por más de treinta (30) días calendario, EL PROVEEDOR podrá suspender el acceso a la Plataforma previo aviso escrito de diez (10) días hábiles, sin que ello constituya incumplimiento. Durante la suspensión EL PROVEEDOR conservará los Datos del Cliente y restablecerá el acceso dentro del día hábil siguiente al pago.</w:t>
      </w:r>
    </w:p>
    <w:p>
      <w:pPr>
        <w:spacing w:after="140" w:line="300"/>
        <w:jc w:val="both"/>
      </w:pPr>
      <w:r>
        <w:rPr>
          <w:rFonts w:ascii="Arial" w:cs="Arial" w:eastAsia="Arial" w:hAnsi="Arial"/>
          <w:b/>
          <w:bCs/>
          <w:sz w:val="21"/>
          <w:szCs w:val="21"/>
        </w:rPr>
        <w:t xml:space="preserve">8.5 Ajuste de precios.</w:t>
      </w:r>
      <w:r>
        <w:rPr>
          <w:rFonts w:ascii="Arial" w:cs="Arial" w:eastAsia="Arial" w:hAnsi="Arial"/>
          <w:sz w:val="21"/>
          <w:szCs w:val="21"/>
        </w:rPr>
        <w:t xml:space="preserve"> EL PROVEEDOR podrá ajustar los precios para cada renovación avisando por escrito con al menos treinta (30) días calendario de anticipación al vencimiento; si EL CLIENTE no está de acuerdo, podrá no renovar.</w:t>
      </w:r>
    </w:p>
    <w:p>
      <w:pPr>
        <w:spacing w:after="140" w:line="300"/>
        <w:jc w:val="both"/>
      </w:pPr>
      <w:r>
        <w:rPr>
          <w:rFonts w:ascii="Arial" w:cs="Arial" w:eastAsia="Arial" w:hAnsi="Arial"/>
          <w:b/>
          <w:bCs/>
          <w:sz w:val="21"/>
          <w:szCs w:val="21"/>
        </w:rPr>
        <w:t xml:space="preserve">8.6 Reembolsos.</w:t>
      </w:r>
      <w:r>
        <w:rPr>
          <w:rFonts w:ascii="Arial" w:cs="Arial" w:eastAsia="Arial" w:hAnsi="Arial"/>
          <w:sz w:val="21"/>
          <w:szCs w:val="21"/>
        </w:rPr>
        <w:t xml:space="preserve"> Lo pagado por anticipado no es reembolsable, salvo en los casos de las cláusulas 3.5, 13.1 y 15.3.</w:t>
      </w:r>
    </w:p>
    <w:p>
      <w:pPr>
        <w:keepNext/>
        <w:spacing w:after="120" w:before="320"/>
      </w:pPr>
      <w:r>
        <w:rPr>
          <w:rFonts w:ascii="Arial" w:cs="Arial" w:eastAsia="Arial" w:hAnsi="Arial"/>
          <w:b/>
          <w:bCs/>
          <w:color w:val="1E293B"/>
          <w:sz w:val="23"/>
          <w:szCs w:val="23"/>
        </w:rPr>
        <w:t xml:space="preserve">NOVENA. PROTECCIÓN DE DATOS PERSONALES</w:t>
      </w:r>
    </w:p>
    <w:p>
      <w:pPr>
        <w:spacing w:after="140" w:line="300"/>
        <w:jc w:val="both"/>
      </w:pPr>
      <w:r>
        <w:rPr>
          <w:rFonts w:ascii="Arial" w:cs="Arial" w:eastAsia="Arial" w:hAnsi="Arial"/>
          <w:b/>
          <w:bCs/>
          <w:sz w:val="21"/>
          <w:szCs w:val="21"/>
        </w:rPr>
        <w:t xml:space="preserve">9.1 Roles.</w:t>
      </w:r>
      <w:r>
        <w:rPr>
          <w:rFonts w:ascii="Arial" w:cs="Arial" w:eastAsia="Arial" w:hAnsi="Arial"/>
          <w:sz w:val="21"/>
          <w:szCs w:val="21"/>
        </w:rPr>
        <w:t xml:space="preserve"> Respecto de los Datos Personales que EL CLIENTE o sus Usuarios Autorizados carguen en la Plataforma como parte de los Datos del Cliente, EL CLIENTE es el </w:t>
      </w:r>
      <w:r>
        <w:rPr>
          <w:rFonts w:ascii="Arial" w:cs="Arial" w:eastAsia="Arial" w:hAnsi="Arial"/>
          <w:b/>
          <w:bCs/>
          <w:sz w:val="21"/>
          <w:szCs w:val="21"/>
        </w:rPr>
        <w:t xml:space="preserve">responsable</w:t>
      </w:r>
      <w:r>
        <w:rPr>
          <w:rFonts w:ascii="Arial" w:cs="Arial" w:eastAsia="Arial" w:hAnsi="Arial"/>
          <w:sz w:val="21"/>
          <w:szCs w:val="21"/>
        </w:rPr>
        <w:t xml:space="preserve"> del tratamiento y EL PROVEEDOR actúa como </w:t>
      </w:r>
      <w:r>
        <w:rPr>
          <w:rFonts w:ascii="Arial" w:cs="Arial" w:eastAsia="Arial" w:hAnsi="Arial"/>
          <w:b/>
          <w:bCs/>
          <w:sz w:val="21"/>
          <w:szCs w:val="21"/>
        </w:rPr>
        <w:t xml:space="preserve">encargado</w:t>
      </w:r>
      <w:r>
        <w:rPr>
          <w:rFonts w:ascii="Arial" w:cs="Arial" w:eastAsia="Arial" w:hAnsi="Arial"/>
          <w:sz w:val="21"/>
          <w:szCs w:val="21"/>
        </w:rPr>
        <w:t xml:space="preserve"> por cuenta de EL CLIENTE, en los términos del </w:t>
      </w:r>
      <w:r>
        <w:rPr>
          <w:rFonts w:ascii="Arial" w:cs="Arial" w:eastAsia="Arial" w:hAnsi="Arial"/>
          <w:b/>
          <w:bCs/>
          <w:sz w:val="21"/>
          <w:szCs w:val="21"/>
        </w:rPr>
        <w:t xml:space="preserve">Anexo C</w:t>
      </w:r>
      <w:r>
        <w:rPr>
          <w:rFonts w:ascii="Arial" w:cs="Arial" w:eastAsia="Arial" w:hAnsi="Arial"/>
          <w:sz w:val="21"/>
          <w:szCs w:val="21"/>
        </w:rPr>
        <w:t xml:space="preserve">, que constituye el contrato de transmisión de datos personales previsto en el artículo 2.2.2.25.5.2 del Decreto 1074 de 2015.</w:t>
      </w:r>
    </w:p>
    <w:p>
      <w:pPr>
        <w:spacing w:after="140" w:line="300"/>
        <w:jc w:val="both"/>
      </w:pPr>
      <w:r>
        <w:rPr>
          <w:rFonts w:ascii="Arial" w:cs="Arial" w:eastAsia="Arial" w:hAnsi="Arial"/>
          <w:b/>
          <w:bCs/>
          <w:sz w:val="21"/>
          <w:szCs w:val="21"/>
        </w:rPr>
        <w:t xml:space="preserve">9.2 Datos de las cuentas.</w:t>
      </w:r>
      <w:r>
        <w:rPr>
          <w:rFonts w:ascii="Arial" w:cs="Arial" w:eastAsia="Arial" w:hAnsi="Arial"/>
          <w:sz w:val="21"/>
          <w:szCs w:val="21"/>
        </w:rPr>
        <w:t xml:space="preserve"> Respecto de los datos de registro y uso de las cuentas de los Usuarios Autorizados (nombre, correo, credenciales y registros de seguridad), EL PROVEEDOR actúa como responsable conforme a su Política de Tratamiento de Datos Personales publicada en www.xtopo.com.co/privacidad.</w:t>
      </w:r>
    </w:p>
    <w:p>
      <w:pPr>
        <w:spacing w:after="140" w:line="300"/>
        <w:jc w:val="both"/>
      </w:pPr>
      <w:r>
        <w:rPr>
          <w:rFonts w:ascii="Arial" w:cs="Arial" w:eastAsia="Arial" w:hAnsi="Arial"/>
          <w:b/>
          <w:bCs/>
          <w:sz w:val="21"/>
          <w:szCs w:val="21"/>
        </w:rPr>
        <w:t xml:space="preserve">9.3 Autorizaciones.</w:t>
      </w:r>
      <w:r>
        <w:rPr>
          <w:rFonts w:ascii="Arial" w:cs="Arial" w:eastAsia="Arial" w:hAnsi="Arial"/>
          <w:sz w:val="21"/>
          <w:szCs w:val="21"/>
        </w:rPr>
        <w:t xml:space="preserve"> EL CLIENTE garantiza que cuenta con las autorizaciones de los titulares y con las bases legales para que EL PROVEEDOR trate los Datos Personales del Cliente con las finalidades del Anexo C, incluidas, cuando aplique, la transmisión internacional a los subencargados allí indicados.</w:t>
      </w:r>
    </w:p>
    <w:p>
      <w:pPr>
        <w:keepNext/>
        <w:spacing w:after="120" w:before="320"/>
      </w:pPr>
      <w:r>
        <w:rPr>
          <w:rFonts w:ascii="Arial" w:cs="Arial" w:eastAsia="Arial" w:hAnsi="Arial"/>
          <w:b/>
          <w:bCs/>
          <w:color w:val="1E293B"/>
          <w:sz w:val="23"/>
          <w:szCs w:val="23"/>
        </w:rPr>
        <w:t xml:space="preserve">DÉCIMA. CONFIDENCIALIDAD</w:t>
      </w:r>
    </w:p>
    <w:p>
      <w:pPr>
        <w:spacing w:after="140" w:line="300"/>
        <w:jc w:val="both"/>
      </w:pPr>
      <w:r>
        <w:rPr>
          <w:rFonts w:ascii="Arial" w:cs="Arial" w:eastAsia="Arial" w:hAnsi="Arial"/>
          <w:b/>
          <w:bCs/>
          <w:sz w:val="21"/>
          <w:szCs w:val="21"/>
        </w:rPr>
        <w:t xml:space="preserve">10.1 Información Confidencial.</w:t>
      </w:r>
      <w:r>
        <w:rPr>
          <w:rFonts w:ascii="Arial" w:cs="Arial" w:eastAsia="Arial" w:hAnsi="Arial"/>
          <w:sz w:val="21"/>
          <w:szCs w:val="21"/>
        </w:rPr>
        <w:t xml:space="preserve"> Es Información Confidencial toda información técnica, comercial, financiera o de negocio que una parte (la </w:t>
      </w:r>
      <w:r>
        <w:rPr>
          <w:rFonts w:ascii="Arial" w:cs="Arial" w:eastAsia="Arial" w:hAnsi="Arial"/>
          <w:b/>
          <w:bCs/>
          <w:sz w:val="21"/>
          <w:szCs w:val="21"/>
        </w:rPr>
        <w:t xml:space="preserve">parte reveladora</w:t>
      </w:r>
      <w:r>
        <w:rPr>
          <w:rFonts w:ascii="Arial" w:cs="Arial" w:eastAsia="Arial" w:hAnsi="Arial"/>
          <w:sz w:val="21"/>
          <w:szCs w:val="21"/>
        </w:rPr>
        <w:t xml:space="preserve">) entregue a la otra (la </w:t>
      </w:r>
      <w:r>
        <w:rPr>
          <w:rFonts w:ascii="Arial" w:cs="Arial" w:eastAsia="Arial" w:hAnsi="Arial"/>
          <w:b/>
          <w:bCs/>
          <w:sz w:val="21"/>
          <w:szCs w:val="21"/>
        </w:rPr>
        <w:t xml:space="preserve">parte receptora</w:t>
      </w:r>
      <w:r>
        <w:rPr>
          <w:rFonts w:ascii="Arial" w:cs="Arial" w:eastAsia="Arial" w:hAnsi="Arial"/>
          <w:sz w:val="21"/>
          <w:szCs w:val="21"/>
        </w:rPr>
        <w:t xml:space="preserve">) con ocasión del Contrato y que esté marcada como confidencial o que, por su naturaleza, una persona razonable entendería como tal. Los Datos del Cliente son Información Confidencial de EL CLIENTE; la Plataforma no pública, su código y su Documentación interna lo son de EL PROVEEDOR.</w:t>
      </w:r>
    </w:p>
    <w:p>
      <w:pPr>
        <w:spacing w:after="140" w:line="300"/>
        <w:jc w:val="both"/>
      </w:pPr>
      <w:r>
        <w:rPr>
          <w:rFonts w:ascii="Arial" w:cs="Arial" w:eastAsia="Arial" w:hAnsi="Arial"/>
          <w:b/>
          <w:bCs/>
          <w:sz w:val="21"/>
          <w:szCs w:val="21"/>
        </w:rPr>
        <w:t xml:space="preserve">10.2 Deberes.</w:t>
      </w:r>
      <w:r>
        <w:rPr>
          <w:rFonts w:ascii="Arial" w:cs="Arial" w:eastAsia="Arial" w:hAnsi="Arial"/>
          <w:sz w:val="21"/>
          <w:szCs w:val="21"/>
        </w:rPr>
        <w:t xml:space="preserve"> La parte receptora usará la Información Confidencial solo para ejecutar el Contrato, la protegerá con al menos el mismo cuidado que su propia información de naturaleza similar y nunca con menos que un cuidado razonable, y solo la compartirá con empleados, contratistas o subencargados que necesiten conocerla y estén obligados a guardar una confidencialidad equivalente.</w:t>
      </w:r>
    </w:p>
    <w:p>
      <w:pPr>
        <w:spacing w:after="140" w:line="300"/>
        <w:jc w:val="both"/>
      </w:pPr>
      <w:r>
        <w:rPr>
          <w:rFonts w:ascii="Arial" w:cs="Arial" w:eastAsia="Arial" w:hAnsi="Arial"/>
          <w:b/>
          <w:bCs/>
          <w:sz w:val="21"/>
          <w:szCs w:val="21"/>
        </w:rPr>
        <w:t xml:space="preserve">10.3 Excepciones.</w:t>
      </w:r>
      <w:r>
        <w:rPr>
          <w:rFonts w:ascii="Arial" w:cs="Arial" w:eastAsia="Arial" w:hAnsi="Arial"/>
          <w:sz w:val="21"/>
          <w:szCs w:val="21"/>
        </w:rPr>
        <w:t xml:space="preserve"> No es Información Confidencial la que: (a) sea o llegue a ser pública sin culpa de la parte receptora; (b) la parte receptora conociera legítimamente antes de recibirla; (c) reciba legítimamente de un tercero sin deber de reserva, o (d) desarrolle de forma independiente. La parte receptora puede revelarla por orden de autoridad competente, avisando antes a la parte reveladora, si la ley lo permite, para que pueda oponerse.</w:t>
      </w:r>
    </w:p>
    <w:p>
      <w:pPr>
        <w:spacing w:after="140" w:line="300"/>
        <w:jc w:val="both"/>
      </w:pPr>
      <w:r>
        <w:rPr>
          <w:rFonts w:ascii="Arial" w:cs="Arial" w:eastAsia="Arial" w:hAnsi="Arial"/>
          <w:b/>
          <w:bCs/>
          <w:sz w:val="21"/>
          <w:szCs w:val="21"/>
        </w:rPr>
        <w:t xml:space="preserve">10.4 Duración.</w:t>
      </w:r>
      <w:r>
        <w:rPr>
          <w:rFonts w:ascii="Arial" w:cs="Arial" w:eastAsia="Arial" w:hAnsi="Arial"/>
          <w:sz w:val="21"/>
          <w:szCs w:val="21"/>
        </w:rPr>
        <w:t xml:space="preserve"> Estas obligaciones rigen durante el Contrato y tres (3) años después de su terminación; para los secretos empresariales, mientras conserven ese carácter (Decisión Andina 486 de 2000).</w:t>
      </w:r>
    </w:p>
    <w:p>
      <w:pPr>
        <w:spacing w:after="140" w:line="300"/>
        <w:jc w:val="both"/>
      </w:pPr>
      <w:r>
        <w:rPr>
          <w:rFonts w:ascii="Arial" w:cs="Arial" w:eastAsia="Arial" w:hAnsi="Arial"/>
          <w:b/>
          <w:bCs/>
          <w:sz w:val="21"/>
          <w:szCs w:val="21"/>
        </w:rPr>
        <w:t xml:space="preserve">10.5 Devolución.</w:t>
      </w:r>
      <w:r>
        <w:rPr>
          <w:rFonts w:ascii="Arial" w:cs="Arial" w:eastAsia="Arial" w:hAnsi="Arial"/>
          <w:sz w:val="21"/>
          <w:szCs w:val="21"/>
        </w:rPr>
        <w:t xml:space="preserve"> Al terminar el Contrato, o a solicitud de la parte reveladora, la parte receptora devolverá o destruirá la Información Confidencial, salvo las copias que deba conservar por ley, que seguirán protegidas por esta cláusula.</w:t>
      </w:r>
    </w:p>
    <w:p>
      <w:pPr>
        <w:keepNext/>
        <w:spacing w:after="120" w:before="320"/>
      </w:pPr>
      <w:r>
        <w:rPr>
          <w:rFonts w:ascii="Arial" w:cs="Arial" w:eastAsia="Arial" w:hAnsi="Arial"/>
          <w:b/>
          <w:bCs/>
          <w:color w:val="1E293B"/>
          <w:sz w:val="23"/>
          <w:szCs w:val="23"/>
        </w:rPr>
        <w:t xml:space="preserve">UNDÉCIMA. SEGURIDAD DE LA INFORMACIÓN</w:t>
      </w:r>
    </w:p>
    <w:p>
      <w:pPr>
        <w:spacing w:after="140" w:line="300"/>
        <w:jc w:val="both"/>
      </w:pPr>
      <w:r>
        <w:rPr>
          <w:rFonts w:ascii="Arial" w:cs="Arial" w:eastAsia="Arial" w:hAnsi="Arial"/>
          <w:sz w:val="21"/>
          <w:szCs w:val="21"/>
        </w:rPr>
        <w:t xml:space="preserve">EL PROVEEDOR mantendrá medidas técnicas y administrativas razonables y acordes con el estado de la técnica para proteger los Datos del Cliente, entre ellas: conexiones cifradas (HTTPS); contraseñas almacenadas cifradas; control de acceso por cuenta en la base de datos; claves de servicios guardadas solo en el servidor; enlaces temporales firmados para descargar archivos; borrado automático de los archivos RINEX cargados para procesar en un plazo máximo de veinticuatro (24) horas, y registro y alerta de intentos de acceso no autorizado. EL PROVEEDOR podrá actualizar estas medidas siempre que no disminuya el nivel de protección.</w:t>
      </w:r>
    </w:p>
    <w:p>
      <w:pPr>
        <w:keepNext/>
        <w:spacing w:after="120" w:before="320"/>
      </w:pPr>
      <w:r>
        <w:rPr>
          <w:rFonts w:ascii="Arial" w:cs="Arial" w:eastAsia="Arial" w:hAnsi="Arial"/>
          <w:b/>
          <w:bCs/>
          <w:color w:val="1E293B"/>
          <w:sz w:val="23"/>
          <w:szCs w:val="23"/>
        </w:rPr>
        <w:t xml:space="preserve">DUODÉCIMA. GARANTÍAS</w:t>
      </w:r>
    </w:p>
    <w:p>
      <w:pPr>
        <w:spacing w:after="140" w:line="300"/>
        <w:jc w:val="both"/>
      </w:pPr>
      <w:r>
        <w:rPr>
          <w:rFonts w:ascii="Arial" w:cs="Arial" w:eastAsia="Arial" w:hAnsi="Arial"/>
          <w:b/>
          <w:bCs/>
          <w:sz w:val="21"/>
          <w:szCs w:val="21"/>
        </w:rPr>
        <w:t xml:space="preserve">12.1 Mutuas.</w:t>
      </w:r>
      <w:r>
        <w:rPr>
          <w:rFonts w:ascii="Arial" w:cs="Arial" w:eastAsia="Arial" w:hAnsi="Arial"/>
          <w:sz w:val="21"/>
          <w:szCs w:val="21"/>
        </w:rPr>
        <w:t xml:space="preserve"> Cada parte declara que tiene capacidad y está debidamente facultada para celebrar y cumplir este Contrato, y que hacerlo no viola la ley ni otros contratos que la obliguen.</w:t>
      </w:r>
    </w:p>
    <w:p>
      <w:pPr>
        <w:spacing w:after="140" w:line="300"/>
        <w:jc w:val="both"/>
      </w:pPr>
      <w:r>
        <w:rPr>
          <w:rFonts w:ascii="Arial" w:cs="Arial" w:eastAsia="Arial" w:hAnsi="Arial"/>
          <w:b/>
          <w:bCs/>
          <w:sz w:val="21"/>
          <w:szCs w:val="21"/>
        </w:rPr>
        <w:t xml:space="preserve">12.2 De EL PROVEEDOR.</w:t>
      </w:r>
      <w:r>
        <w:rPr>
          <w:rFonts w:ascii="Arial" w:cs="Arial" w:eastAsia="Arial" w:hAnsi="Arial"/>
          <w:sz w:val="21"/>
          <w:szCs w:val="21"/>
        </w:rPr>
        <w:t xml:space="preserve"> EL PROVEEDOR garantiza que (a) la Plataforma funcionará de manera sustancialmente conforme a la Documentación durante la vigencia de la Orden de Servicio, y (b) los servicios profesionales se prestarán con diligencia y conforme a las buenas prácticas de la profesión. Si EL CLIENTE reporta por escrito un incumplimiento de esta garantía, EL PROVEEDOR lo corregirá o volverá a prestar el servicio en un plazo razonable; si no lo logra, EL CLIENTE podrá terminar la Orden de Servicio afectada y recibir la devolución proporcional de lo pagado por anticipado.</w:t>
      </w:r>
    </w:p>
    <w:p>
      <w:pPr>
        <w:spacing w:after="140" w:line="300"/>
        <w:jc w:val="both"/>
      </w:pPr>
      <w:r>
        <w:rPr>
          <w:rFonts w:ascii="Arial" w:cs="Arial" w:eastAsia="Arial" w:hAnsi="Arial"/>
          <w:b/>
          <w:bCs/>
          <w:sz w:val="21"/>
          <w:szCs w:val="21"/>
        </w:rPr>
        <w:t xml:space="preserve">12.3 Exclusiones.</w:t>
      </w:r>
      <w:r>
        <w:rPr>
          <w:rFonts w:ascii="Arial" w:cs="Arial" w:eastAsia="Arial" w:hAnsi="Arial"/>
          <w:sz w:val="21"/>
          <w:szCs w:val="21"/>
        </w:rPr>
        <w:t xml:space="preserve"> La garantía no cubre fallas causadas por el uso contrario a la Documentación, por equipos, conexiones o navegadores de EL CLIENTE, por los Datos del Cliente ni por Servicios de Terceros. En lo no previsto en esta cláusula, y en la medida en que la ley lo permita, la Plataforma se presta en el estado en que se encuentra, sin garantía de funcionamiento ininterrumpido o libre de errores.</w:t>
      </w:r>
    </w:p>
    <w:p>
      <w:pPr>
        <w:spacing w:after="140" w:line="300"/>
        <w:jc w:val="both"/>
      </w:pPr>
      <w:r>
        <w:rPr>
          <w:rFonts w:ascii="Arial" w:cs="Arial" w:eastAsia="Arial" w:hAnsi="Arial"/>
          <w:b/>
          <w:bCs/>
          <w:sz w:val="21"/>
          <w:szCs w:val="21"/>
        </w:rPr>
        <w:t xml:space="preserve">12.4 Naturaleza de la relación.</w:t>
      </w:r>
      <w:r>
        <w:rPr>
          <w:rFonts w:ascii="Arial" w:cs="Arial" w:eastAsia="Arial" w:hAnsi="Arial"/>
          <w:sz w:val="21"/>
          <w:szCs w:val="21"/>
        </w:rPr>
        <w:t xml:space="preserve"> LAS PARTES declaran que EL CLIENTE adquiere los Servicios para su actividad empresarial o profesional, ligada intrínsecamente a ella.</w:t>
      </w:r>
    </w:p>
    <w:p>
      <w:pPr>
        <w:keepNext/>
        <w:spacing w:after="120" w:before="320"/>
      </w:pPr>
      <w:r>
        <w:rPr>
          <w:rFonts w:ascii="Arial" w:cs="Arial" w:eastAsia="Arial" w:hAnsi="Arial"/>
          <w:b/>
          <w:bCs/>
          <w:color w:val="1E293B"/>
          <w:sz w:val="23"/>
          <w:szCs w:val="23"/>
        </w:rPr>
        <w:t xml:space="preserve">DECIMOTERCERA. INDEMNIDAD</w:t>
      </w:r>
    </w:p>
    <w:p>
      <w:pPr>
        <w:spacing w:after="140" w:line="300"/>
        <w:jc w:val="both"/>
      </w:pPr>
      <w:r>
        <w:rPr>
          <w:rFonts w:ascii="Arial" w:cs="Arial" w:eastAsia="Arial" w:hAnsi="Arial"/>
          <w:b/>
          <w:bCs/>
          <w:sz w:val="21"/>
          <w:szCs w:val="21"/>
        </w:rPr>
        <w:t xml:space="preserve">13.1 Por EL PROVEEDOR.</w:t>
      </w:r>
      <w:r>
        <w:rPr>
          <w:rFonts w:ascii="Arial" w:cs="Arial" w:eastAsia="Arial" w:hAnsi="Arial"/>
          <w:sz w:val="21"/>
          <w:szCs w:val="21"/>
        </w:rPr>
        <w:t xml:space="preserve"> EL PROVEEDOR mantendrá indemne a EL CLIENTE frente a reclamaciones de terceros que aleguen que la Plataforma, usada conforme a este Contrato, infringe derechos de propiedad intelectual en Colombia, y asumirá los costos de defensa y las condenas que de ellas resulten. Si se presenta o es probable que se presente una reclamación, EL PROVEEDOR podrá, a su elección: (a) obtener el derecho de seguir usando la Plataforma; (b) modificarla o reemplazarla para que no infrinja, sin disminuir sustancialmente su funcionalidad, o (c) terminar la Orden de Servicio afectada y devolver lo pagado por anticipado y no consumido. Esta obligación no aplica si la reclamación se origina en los Datos del Cliente, en modificaciones no hechas por EL PROVEEDOR o en la combinación con productos no suministrados por él.</w:t>
      </w:r>
    </w:p>
    <w:p>
      <w:pPr>
        <w:spacing w:after="140" w:line="300"/>
        <w:jc w:val="both"/>
      </w:pPr>
      <w:r>
        <w:rPr>
          <w:rFonts w:ascii="Arial" w:cs="Arial" w:eastAsia="Arial" w:hAnsi="Arial"/>
          <w:b/>
          <w:bCs/>
          <w:sz w:val="21"/>
          <w:szCs w:val="21"/>
        </w:rPr>
        <w:t xml:space="preserve">13.2 Por EL CLIENTE.</w:t>
      </w:r>
      <w:r>
        <w:rPr>
          <w:rFonts w:ascii="Arial" w:cs="Arial" w:eastAsia="Arial" w:hAnsi="Arial"/>
          <w:sz w:val="21"/>
          <w:szCs w:val="21"/>
        </w:rPr>
        <w:t xml:space="preserve"> EL CLIENTE mantendrá indemne a EL PROVEEDOR frente a reclamaciones de terceros derivadas de los Datos del Cliente, de la falta de autorizaciones a su cargo, del uso de los Resultados o del uso de la Plataforma en contra de este Contrato o de la ley.</w:t>
      </w:r>
    </w:p>
    <w:p>
      <w:pPr>
        <w:spacing w:after="140" w:line="300"/>
        <w:jc w:val="both"/>
      </w:pPr>
      <w:r>
        <w:rPr>
          <w:rFonts w:ascii="Arial" w:cs="Arial" w:eastAsia="Arial" w:hAnsi="Arial"/>
          <w:b/>
          <w:bCs/>
          <w:sz w:val="21"/>
          <w:szCs w:val="21"/>
        </w:rPr>
        <w:t xml:space="preserve">13.3 Procedimiento.</w:t>
      </w:r>
      <w:r>
        <w:rPr>
          <w:rFonts w:ascii="Arial" w:cs="Arial" w:eastAsia="Arial" w:hAnsi="Arial"/>
          <w:sz w:val="21"/>
          <w:szCs w:val="21"/>
        </w:rPr>
        <w:t xml:space="preserve"> La parte que reciba una reclamación avisará a la otra sin demora, le permitirá dirigir la defensa y cualquier transacción, y colaborará razonablemente. Ninguna parte podrá transigir una reclamación que imponga obligaciones a la otra sin su consentimiento escrito.</w:t>
      </w:r>
    </w:p>
    <w:p>
      <w:pPr>
        <w:keepNext/>
        <w:spacing w:after="120" w:before="320"/>
      </w:pPr>
      <w:r>
        <w:rPr>
          <w:rFonts w:ascii="Arial" w:cs="Arial" w:eastAsia="Arial" w:hAnsi="Arial"/>
          <w:b/>
          <w:bCs/>
          <w:color w:val="1E293B"/>
          <w:sz w:val="23"/>
          <w:szCs w:val="23"/>
        </w:rPr>
        <w:t xml:space="preserve">DECIMOCUARTA. LIMITACIÓN DE RESPONSABILIDAD</w:t>
      </w:r>
    </w:p>
    <w:p>
      <w:pPr>
        <w:spacing w:after="140" w:line="300"/>
        <w:jc w:val="both"/>
      </w:pPr>
      <w:r>
        <w:rPr>
          <w:rFonts w:ascii="Arial" w:cs="Arial" w:eastAsia="Arial" w:hAnsi="Arial"/>
          <w:b/>
          <w:bCs/>
          <w:sz w:val="21"/>
          <w:szCs w:val="21"/>
        </w:rPr>
        <w:t xml:space="preserve">14.1 Daños excluidos.</w:t>
      </w:r>
      <w:r>
        <w:rPr>
          <w:rFonts w:ascii="Arial" w:cs="Arial" w:eastAsia="Arial" w:hAnsi="Arial"/>
          <w:sz w:val="21"/>
          <w:szCs w:val="21"/>
        </w:rPr>
        <w:t xml:space="preserve"> Ninguna de LAS PARTES responderá ante la otra por lucro cesante, pérdida de oportunidades de negocio, daños indirectos o imprevisibles al momento de contratar, derivados del Contrato.</w:t>
      </w:r>
    </w:p>
    <w:p>
      <w:pPr>
        <w:spacing w:after="140" w:line="300"/>
        <w:jc w:val="both"/>
      </w:pPr>
      <w:r>
        <w:rPr>
          <w:rFonts w:ascii="Arial" w:cs="Arial" w:eastAsia="Arial" w:hAnsi="Arial"/>
          <w:b/>
          <w:bCs/>
          <w:sz w:val="21"/>
          <w:szCs w:val="21"/>
        </w:rPr>
        <w:t xml:space="preserve">14.2 Límite.</w:t>
      </w:r>
      <w:r>
        <w:rPr>
          <w:rFonts w:ascii="Arial" w:cs="Arial" w:eastAsia="Arial" w:hAnsi="Arial"/>
          <w:sz w:val="21"/>
          <w:szCs w:val="21"/>
        </w:rPr>
        <w:t xml:space="preserve"> La responsabilidad total de cada parte por todas las reclamaciones derivadas del Contrato no excederá el valor pagado o pagadero por EL CLIENTE a EL PROVEEDOR durante los doce (12) meses anteriores al hecho que origina la reclamación.</w:t>
      </w:r>
    </w:p>
    <w:p>
      <w:pPr>
        <w:spacing w:after="140" w:line="300"/>
        <w:jc w:val="both"/>
      </w:pPr>
      <w:r>
        <w:rPr>
          <w:rFonts w:ascii="Arial" w:cs="Arial" w:eastAsia="Arial" w:hAnsi="Arial"/>
          <w:b/>
          <w:bCs/>
          <w:sz w:val="21"/>
          <w:szCs w:val="21"/>
        </w:rPr>
        <w:t xml:space="preserve">14.3 Excepciones.</w:t>
      </w:r>
      <w:r>
        <w:rPr>
          <w:rFonts w:ascii="Arial" w:cs="Arial" w:eastAsia="Arial" w:hAnsi="Arial"/>
          <w:sz w:val="21"/>
          <w:szCs w:val="21"/>
        </w:rPr>
        <w:t xml:space="preserve"> Las limitaciones de esta cláusula no aplican: (a) en caso de dolo o culpa grave (artículos 63 y 1522 del Código Civil); (b) al incumplimiento de las cláusulas de confidencialidad o de protección de Datos Personales imputable a la parte responsable; (c) a las obligaciones de indemnidad de la cláusula Decimotercera, ni (d) al pago del precio adeudado.</w:t>
      </w:r>
    </w:p>
    <w:p>
      <w:pPr>
        <w:keepNext/>
        <w:spacing w:after="120" w:before="320"/>
      </w:pPr>
      <w:r>
        <w:rPr>
          <w:rFonts w:ascii="Arial" w:cs="Arial" w:eastAsia="Arial" w:hAnsi="Arial"/>
          <w:b/>
          <w:bCs/>
          <w:color w:val="1E293B"/>
          <w:sz w:val="23"/>
          <w:szCs w:val="23"/>
        </w:rPr>
        <w:t xml:space="preserve">DECIMOQUINTA. VIGENCIA Y TERMINACIÓN</w:t>
      </w:r>
    </w:p>
    <w:p>
      <w:pPr>
        <w:spacing w:after="140" w:line="300"/>
        <w:jc w:val="both"/>
      </w:pPr>
      <w:r>
        <w:rPr>
          <w:rFonts w:ascii="Arial" w:cs="Arial" w:eastAsia="Arial" w:hAnsi="Arial"/>
          <w:b/>
          <w:bCs/>
          <w:sz w:val="21"/>
          <w:szCs w:val="21"/>
        </w:rPr>
        <w:t xml:space="preserve">15.1 Vigencia.</w:t>
      </w:r>
      <w:r>
        <w:rPr>
          <w:rFonts w:ascii="Arial" w:cs="Arial" w:eastAsia="Arial" w:hAnsi="Arial"/>
          <w:sz w:val="21"/>
          <w:szCs w:val="21"/>
        </w:rPr>
        <w:t xml:space="preserve"> Este Contrato rige desde su firma y por término indefinido, mientras no se termine conforme a esta cláusula. Cada Orden de Servicio tiene la vigencia que en ella se indique; si no la indica, será de doce (12) meses y se renovará automáticamente por periodos iguales, salvo que alguna parte avise por escrito su intención de no renovarla con al menos treinta (30) días calendario de anticipación al vencimiento.</w:t>
      </w:r>
    </w:p>
    <w:p>
      <w:pPr>
        <w:spacing w:after="140" w:line="300"/>
        <w:jc w:val="both"/>
      </w:pPr>
      <w:r>
        <w:rPr>
          <w:rFonts w:ascii="Arial" w:cs="Arial" w:eastAsia="Arial" w:hAnsi="Arial"/>
          <w:b/>
          <w:bCs/>
          <w:sz w:val="21"/>
          <w:szCs w:val="21"/>
        </w:rPr>
        <w:t xml:space="preserve">15.2 Terminación del Contrato sin Órdenes vigentes.</w:t>
      </w:r>
      <w:r>
        <w:rPr>
          <w:rFonts w:ascii="Arial" w:cs="Arial" w:eastAsia="Arial" w:hAnsi="Arial"/>
          <w:sz w:val="21"/>
          <w:szCs w:val="21"/>
        </w:rPr>
        <w:t xml:space="preserve"> Si no hay Órdenes de Servicio vigentes, cualquiera de LAS PARTES puede terminar este Contrato avisando por escrito con treinta (30) días calendario de anticipación.</w:t>
      </w:r>
    </w:p>
    <w:p>
      <w:pPr>
        <w:spacing w:after="140" w:line="300"/>
        <w:jc w:val="both"/>
      </w:pPr>
      <w:r>
        <w:rPr>
          <w:rFonts w:ascii="Arial" w:cs="Arial" w:eastAsia="Arial" w:hAnsi="Arial"/>
          <w:b/>
          <w:bCs/>
          <w:sz w:val="21"/>
          <w:szCs w:val="21"/>
        </w:rPr>
        <w:t xml:space="preserve">15.3 Terminación por incumplimiento.</w:t>
      </w:r>
      <w:r>
        <w:rPr>
          <w:rFonts w:ascii="Arial" w:cs="Arial" w:eastAsia="Arial" w:hAnsi="Arial"/>
          <w:sz w:val="21"/>
          <w:szCs w:val="21"/>
        </w:rPr>
        <w:t xml:space="preserve"> Cualquiera de LAS PARTES puede terminar este Contrato o una Orden de Servicio si la otra incumple una obligación sustancial y no lo remedia dentro de los treinta (30) días calendario siguientes al requerimiento escrito. Si termina EL CLIENTE por incumplimiento de EL PROVEEDOR, este devolverá lo pagado por anticipado y no consumido.</w:t>
      </w:r>
    </w:p>
    <w:p>
      <w:pPr>
        <w:spacing w:after="140" w:line="300"/>
        <w:jc w:val="both"/>
      </w:pPr>
      <w:r>
        <w:rPr>
          <w:rFonts w:ascii="Arial" w:cs="Arial" w:eastAsia="Arial" w:hAnsi="Arial"/>
          <w:b/>
          <w:bCs/>
          <w:sz w:val="21"/>
          <w:szCs w:val="21"/>
        </w:rPr>
        <w:t xml:space="preserve">15.4 Efectos.</w:t>
      </w:r>
      <w:r>
        <w:rPr>
          <w:rFonts w:ascii="Arial" w:cs="Arial" w:eastAsia="Arial" w:hAnsi="Arial"/>
          <w:sz w:val="21"/>
          <w:szCs w:val="21"/>
        </w:rPr>
        <w:t xml:space="preserve"> La terminación del Contrato termina las Órdenes de Servicio vigentes; la terminación de una Orden de Servicio no afecta las demás. EL CLIENTE pagará los Servicios prestados hasta la fecha de terminación.</w:t>
      </w:r>
    </w:p>
    <w:p>
      <w:pPr>
        <w:spacing w:after="140" w:line="300"/>
        <w:jc w:val="both"/>
      </w:pPr>
      <w:r>
        <w:rPr>
          <w:rFonts w:ascii="Arial" w:cs="Arial" w:eastAsia="Arial" w:hAnsi="Arial"/>
          <w:b/>
          <w:bCs/>
          <w:sz w:val="21"/>
          <w:szCs w:val="21"/>
        </w:rPr>
        <w:t xml:space="preserve">15.5 Devolución y borrado de datos.</w:t>
      </w:r>
      <w:r>
        <w:rPr>
          <w:rFonts w:ascii="Arial" w:cs="Arial" w:eastAsia="Arial" w:hAnsi="Arial"/>
          <w:sz w:val="21"/>
          <w:szCs w:val="21"/>
        </w:rPr>
        <w:t xml:space="preserve"> Durante los treinta (30) días calendario siguientes a la terminación, EL CLIENTE podrá exportar los Datos del Cliente que estén en los servidores de EL PROVEEDOR con las funciones de la Plataforma o solicitar a EL PROVEEDOR una copia en un formato de uso común. Vencido ese plazo, EL PROVEEDOR los suprimirá de sus sistemas activos, y de las copias de respaldo en su ciclo normal de rotación, salvo los que deba conservar por ley, y certificará el borrado si EL CLIENTE lo pide.</w:t>
      </w:r>
    </w:p>
    <w:p>
      <w:pPr>
        <w:spacing w:after="140" w:line="300"/>
        <w:jc w:val="both"/>
      </w:pPr>
      <w:r>
        <w:rPr>
          <w:rFonts w:ascii="Arial" w:cs="Arial" w:eastAsia="Arial" w:hAnsi="Arial"/>
          <w:b/>
          <w:bCs/>
          <w:sz w:val="21"/>
          <w:szCs w:val="21"/>
        </w:rPr>
        <w:t xml:space="preserve">15.6 Cláusulas que subsisten.</w:t>
      </w:r>
      <w:r>
        <w:rPr>
          <w:rFonts w:ascii="Arial" w:cs="Arial" w:eastAsia="Arial" w:hAnsi="Arial"/>
          <w:sz w:val="21"/>
          <w:szCs w:val="21"/>
        </w:rPr>
        <w:t xml:space="preserve"> Subsisten a la terminación las cláusulas sobre propiedad intelectual, pagos adeudados, protección de datos, confidencialidad, indemnidad, limitación de responsabilidad, devolución de datos y solución de controversias.</w:t>
      </w:r>
    </w:p>
    <w:p>
      <w:pPr>
        <w:keepNext/>
        <w:spacing w:after="120" w:before="320"/>
      </w:pPr>
      <w:r>
        <w:rPr>
          <w:rFonts w:ascii="Arial" w:cs="Arial" w:eastAsia="Arial" w:hAnsi="Arial"/>
          <w:b/>
          <w:bCs/>
          <w:color w:val="1E293B"/>
          <w:sz w:val="23"/>
          <w:szCs w:val="23"/>
        </w:rPr>
        <w:t xml:space="preserve">DECIMOSEXTA. SOLUCIÓN DE CONTROVERSIAS</w:t>
      </w:r>
    </w:p>
    <w:p>
      <w:pPr>
        <w:spacing w:after="140" w:line="300"/>
        <w:jc w:val="both"/>
      </w:pPr>
      <w:r>
        <w:rPr>
          <w:rFonts w:ascii="Arial" w:cs="Arial" w:eastAsia="Arial" w:hAnsi="Arial"/>
          <w:b/>
          <w:bCs/>
          <w:sz w:val="21"/>
          <w:szCs w:val="21"/>
        </w:rPr>
        <w:t xml:space="preserve">16.1 Arreglo directo.</w:t>
      </w:r>
      <w:r>
        <w:rPr>
          <w:rFonts w:ascii="Arial" w:cs="Arial" w:eastAsia="Arial" w:hAnsi="Arial"/>
          <w:sz w:val="21"/>
          <w:szCs w:val="21"/>
        </w:rPr>
        <w:t xml:space="preserve"> LAS PARTES procurarán resolver directamente cualquier diferencia relacionada con el Contrato dentro de los treinta (30) días calendario siguientes al aviso escrito de una de ellas a la otra.</w:t>
      </w:r>
    </w:p>
    <w:p>
      <w:pPr>
        <w:spacing w:after="140" w:line="300"/>
        <w:jc w:val="both"/>
      </w:pPr>
      <w:r>
        <w:rPr>
          <w:rFonts w:ascii="Arial" w:cs="Arial" w:eastAsia="Arial" w:hAnsi="Arial"/>
          <w:b/>
          <w:bCs/>
          <w:sz w:val="21"/>
          <w:szCs w:val="21"/>
        </w:rPr>
        <w:t xml:space="preserve">16.2 Arbitraje.</w:t>
      </w:r>
      <w:r>
        <w:rPr>
          <w:rFonts w:ascii="Arial" w:cs="Arial" w:eastAsia="Arial" w:hAnsi="Arial"/>
          <w:sz w:val="21"/>
          <w:szCs w:val="21"/>
        </w:rPr>
        <w:t xml:space="preserve"> Si no hay arreglo, la diferencia se resolverá por un tribunal de arbitraje que funcionará en el Centro de Arbitraje y Conciliación de la Cámara de Comercio de </w:t>
      </w:r>
      <w:r>
        <w:rPr>
          <w:rFonts w:ascii="Arial" w:cs="Arial" w:eastAsia="Arial" w:hAnsi="Arial"/>
          <w:sz w:val="21"/>
          <w:szCs w:val="21"/>
          <w:highlight w:val="yellow"/>
          <w:highlightCs w:val="yellow"/>
        </w:rPr>
        <w:t xml:space="preserve">[● ciudad]</w:t>
      </w:r>
      <w:r>
        <w:rPr>
          <w:rFonts w:ascii="Arial" w:cs="Arial" w:eastAsia="Arial" w:hAnsi="Arial"/>
          <w:sz w:val="21"/>
          <w:szCs w:val="21"/>
        </w:rPr>
        <w:t xml:space="preserve">, conforme a la Ley 1563 de 2012 y al reglamento de dicho centro. El tribunal estará integrado por un (1) árbitro si la cuantía es inferior a </w:t>
      </w:r>
      <w:r>
        <w:rPr>
          <w:rFonts w:ascii="Arial" w:cs="Arial" w:eastAsia="Arial" w:hAnsi="Arial"/>
          <w:sz w:val="21"/>
          <w:szCs w:val="21"/>
          <w:highlight w:val="yellow"/>
          <w:highlightCs w:val="yellow"/>
        </w:rPr>
        <w:t xml:space="preserve">[● cuantía, por ejemplo 400 SMMLV]</w:t>
      </w:r>
      <w:r>
        <w:rPr>
          <w:rFonts w:ascii="Arial" w:cs="Arial" w:eastAsia="Arial" w:hAnsi="Arial"/>
          <w:sz w:val="21"/>
          <w:szCs w:val="21"/>
        </w:rPr>
        <w:t xml:space="preserve"> y por tres (3) árbitros en caso contrario, designados de común acuerdo o, en su defecto, por el centro; decidirá en derecho, en idioma español, y tendrá sede en </w:t>
      </w:r>
      <w:r>
        <w:rPr>
          <w:rFonts w:ascii="Arial" w:cs="Arial" w:eastAsia="Arial" w:hAnsi="Arial"/>
          <w:sz w:val="21"/>
          <w:szCs w:val="21"/>
          <w:highlight w:val="yellow"/>
          <w:highlightCs w:val="yellow"/>
        </w:rPr>
        <w:t xml:space="preserve">[● ciudad]</w:t>
      </w:r>
      <w:r>
        <w:rPr>
          <w:rFonts w:ascii="Arial" w:cs="Arial" w:eastAsia="Arial" w:hAnsi="Arial"/>
          <w:sz w:val="21"/>
          <w:szCs w:val="21"/>
        </w:rPr>
        <w:t xml:space="preserve">. </w:t>
      </w:r>
      <w:r>
        <w:rPr>
          <w:rFonts w:ascii="Arial" w:cs="Arial" w:eastAsia="Arial" w:hAnsi="Arial"/>
          <w:sz w:val="21"/>
          <w:szCs w:val="21"/>
          <w:highlight w:val="yellow"/>
          <w:highlightCs w:val="yellow"/>
        </w:rPr>
        <w:t xml:space="preserve">[● Opción B, si LAS PARTES prefieren no pactar arbitraje: las diferencias se resolverán ante los jueces competentes de [● ciudad]</w:t>
      </w:r>
      <w:r>
        <w:rPr>
          <w:rFonts w:ascii="Arial" w:cs="Arial" w:eastAsia="Arial" w:hAnsi="Arial"/>
          <w:sz w:val="21"/>
          <w:szCs w:val="21"/>
        </w:rPr>
        <w:t xml:space="preserve">.]</w:t>
      </w:r>
    </w:p>
    <w:p>
      <w:pPr>
        <w:spacing w:after="140" w:line="300"/>
        <w:jc w:val="both"/>
      </w:pPr>
      <w:r>
        <w:rPr>
          <w:rFonts w:ascii="Arial" w:cs="Arial" w:eastAsia="Arial" w:hAnsi="Arial"/>
          <w:b/>
          <w:bCs/>
          <w:sz w:val="21"/>
          <w:szCs w:val="21"/>
        </w:rPr>
        <w:t xml:space="preserve">16.3 Medidas urgentes.</w:t>
      </w:r>
      <w:r>
        <w:rPr>
          <w:rFonts w:ascii="Arial" w:cs="Arial" w:eastAsia="Arial" w:hAnsi="Arial"/>
          <w:sz w:val="21"/>
          <w:szCs w:val="21"/>
        </w:rPr>
        <w:t xml:space="preserve"> Lo anterior no impide que cualquiera de LAS PARTES solicite a la autoridad competente medidas cautelares para proteger su propiedad intelectual o su Información Confidencial.</w:t>
      </w:r>
    </w:p>
    <w:p>
      <w:pPr>
        <w:keepNext/>
        <w:spacing w:after="120" w:before="320"/>
      </w:pPr>
      <w:r>
        <w:rPr>
          <w:rFonts w:ascii="Arial" w:cs="Arial" w:eastAsia="Arial" w:hAnsi="Arial"/>
          <w:b/>
          <w:bCs/>
          <w:color w:val="1E293B"/>
          <w:sz w:val="23"/>
          <w:szCs w:val="23"/>
        </w:rPr>
        <w:t xml:space="preserve">DECIMOSÉPTIMA. DISPOSICIONES GENERALES</w:t>
      </w:r>
    </w:p>
    <w:p>
      <w:pPr>
        <w:spacing w:after="140" w:line="300"/>
        <w:jc w:val="both"/>
      </w:pPr>
      <w:r>
        <w:rPr>
          <w:rFonts w:ascii="Arial" w:cs="Arial" w:eastAsia="Arial" w:hAnsi="Arial"/>
          <w:b/>
          <w:bCs/>
          <w:sz w:val="21"/>
          <w:szCs w:val="21"/>
        </w:rPr>
        <w:t xml:space="preserve">17.1 Autonomía e independencia.</w:t>
      </w:r>
      <w:r>
        <w:rPr>
          <w:rFonts w:ascii="Arial" w:cs="Arial" w:eastAsia="Arial" w:hAnsi="Arial"/>
          <w:sz w:val="21"/>
          <w:szCs w:val="21"/>
        </w:rPr>
        <w:t xml:space="preserve"> LAS PARTES son contratistas independientes. Este Contrato no crea sociedad, agencia, representación ni relación laboral. Cada parte responde por el pago de salarios, prestaciones, aportes a seguridad social y parafiscales de su propio personal.</w:t>
      </w:r>
    </w:p>
    <w:p>
      <w:pPr>
        <w:spacing w:after="140" w:line="300"/>
        <w:jc w:val="both"/>
      </w:pPr>
      <w:r>
        <w:rPr>
          <w:rFonts w:ascii="Arial" w:cs="Arial" w:eastAsia="Arial" w:hAnsi="Arial"/>
          <w:b/>
          <w:bCs/>
          <w:sz w:val="21"/>
          <w:szCs w:val="21"/>
        </w:rPr>
        <w:t xml:space="preserve">17.2 Subcontratación.</w:t>
      </w:r>
      <w:r>
        <w:rPr>
          <w:rFonts w:ascii="Arial" w:cs="Arial" w:eastAsia="Arial" w:hAnsi="Arial"/>
          <w:sz w:val="21"/>
          <w:szCs w:val="21"/>
        </w:rPr>
        <w:t xml:space="preserve"> EL PROVEEDOR puede apoyarse en Servicios de Terceros y en los subencargados del Anexo C, respondiendo por ellos ante EL CLIENTE en los términos de este Contrato.</w:t>
      </w:r>
    </w:p>
    <w:p>
      <w:pPr>
        <w:spacing w:after="140" w:line="300"/>
        <w:jc w:val="both"/>
      </w:pPr>
      <w:r>
        <w:rPr>
          <w:rFonts w:ascii="Arial" w:cs="Arial" w:eastAsia="Arial" w:hAnsi="Arial"/>
          <w:b/>
          <w:bCs/>
          <w:sz w:val="21"/>
          <w:szCs w:val="21"/>
        </w:rPr>
        <w:t xml:space="preserve">17.3 Cesión.</w:t>
      </w:r>
      <w:r>
        <w:rPr>
          <w:rFonts w:ascii="Arial" w:cs="Arial" w:eastAsia="Arial" w:hAnsi="Arial"/>
          <w:sz w:val="21"/>
          <w:szCs w:val="21"/>
        </w:rPr>
        <w:t xml:space="preserve"> Ninguna parte puede ceder el Contrato sin autorización escrita de la otra, salvo a una sociedad que la suceda por fusión, escisión, adquisición o venta de la totalidad o de una parte sustancial de su negocio, avisando por escrito a la otra parte.</w:t>
      </w:r>
    </w:p>
    <w:p>
      <w:pPr>
        <w:spacing w:after="140" w:line="300"/>
        <w:jc w:val="both"/>
      </w:pPr>
      <w:r>
        <w:rPr>
          <w:rFonts w:ascii="Arial" w:cs="Arial" w:eastAsia="Arial" w:hAnsi="Arial"/>
          <w:b/>
          <w:bCs/>
          <w:sz w:val="21"/>
          <w:szCs w:val="21"/>
        </w:rPr>
        <w:t xml:space="preserve">17.4 Fuerza mayor.</w:t>
      </w:r>
      <w:r>
        <w:rPr>
          <w:rFonts w:ascii="Arial" w:cs="Arial" w:eastAsia="Arial" w:hAnsi="Arial"/>
          <w:sz w:val="21"/>
          <w:szCs w:val="21"/>
        </w:rPr>
        <w:t xml:space="preserve"> Ninguna parte responderá por el incumplimiento causado por fuerza mayor o caso fortuito (artículo 64 del Código Civil), incluidas fallas generalizadas de internet o de proveedores de nube ajenas a su control, siempre que avise a la otra sin demora y haga lo razonable para mitigar sus efectos. Esta cláusula no excusa el pago de sumas adeudadas.</w:t>
      </w:r>
    </w:p>
    <w:p>
      <w:pPr>
        <w:spacing w:after="140" w:line="300"/>
        <w:jc w:val="both"/>
      </w:pPr>
      <w:r>
        <w:rPr>
          <w:rFonts w:ascii="Arial" w:cs="Arial" w:eastAsia="Arial" w:hAnsi="Arial"/>
          <w:b/>
          <w:bCs/>
          <w:sz w:val="21"/>
          <w:szCs w:val="21"/>
        </w:rPr>
        <w:t xml:space="preserve">17.5 Ética y cumplimiento.</w:t>
      </w:r>
      <w:r>
        <w:rPr>
          <w:rFonts w:ascii="Arial" w:cs="Arial" w:eastAsia="Arial" w:hAnsi="Arial"/>
          <w:sz w:val="21"/>
          <w:szCs w:val="21"/>
        </w:rPr>
        <w:t xml:space="preserve"> LAS PARTES declaran que sus recursos no provienen de actividades ilícitas y que cumplen las normas sobre prevención del lavado de activos, la financiación del terrorismo y la corrupción, incluida la Ley 1778 de 2016. Cualquiera de ellas podrá terminar el Contrato si la otra o sus administradores son incluidos en listas restrictivas vinculantes para Colombia o condenados por estos delitos.</w:t>
      </w:r>
    </w:p>
    <w:p>
      <w:pPr>
        <w:spacing w:after="140" w:line="300"/>
        <w:jc w:val="both"/>
      </w:pPr>
      <w:r>
        <w:rPr>
          <w:rFonts w:ascii="Arial" w:cs="Arial" w:eastAsia="Arial" w:hAnsi="Arial"/>
          <w:b/>
          <w:bCs/>
          <w:sz w:val="21"/>
          <w:szCs w:val="21"/>
        </w:rPr>
        <w:t xml:space="preserve">17.6 Publicidad.</w:t>
      </w:r>
      <w:r>
        <w:rPr>
          <w:rFonts w:ascii="Arial" w:cs="Arial" w:eastAsia="Arial" w:hAnsi="Arial"/>
          <w:sz w:val="21"/>
          <w:szCs w:val="21"/>
        </w:rPr>
        <w:t xml:space="preserve"> EL PROVEEDOR solo podrá mencionar a EL CLIENTE como cliente o usar sus marcas o logotipos con su autorización previa y escrita.</w:t>
      </w:r>
    </w:p>
    <w:p>
      <w:pPr>
        <w:spacing w:after="140" w:line="300"/>
        <w:jc w:val="both"/>
      </w:pPr>
      <w:r>
        <w:rPr>
          <w:rFonts w:ascii="Arial" w:cs="Arial" w:eastAsia="Arial" w:hAnsi="Arial"/>
          <w:b/>
          <w:bCs/>
          <w:sz w:val="21"/>
          <w:szCs w:val="21"/>
        </w:rPr>
        <w:t xml:space="preserve">17.7 Notificaciones.</w:t>
      </w:r>
      <w:r>
        <w:rPr>
          <w:rFonts w:ascii="Arial" w:cs="Arial" w:eastAsia="Arial" w:hAnsi="Arial"/>
          <w:sz w:val="21"/>
          <w:szCs w:val="21"/>
        </w:rPr>
        <w:t xml:space="preserve"> Las notificaciones se harán por escrito a los correos electrónicos y direcciones indicados en la Orden de Servicio o en la firma de este Contrato. Las de incumplimiento, terminación o controversias se enviarán además a la dirección física. Los cambios de datos de contacto deberán avisarse por escrito.</w:t>
      </w:r>
    </w:p>
    <w:p>
      <w:pPr>
        <w:spacing w:after="140" w:line="300"/>
        <w:jc w:val="both"/>
      </w:pPr>
      <w:r>
        <w:rPr>
          <w:rFonts w:ascii="Arial" w:cs="Arial" w:eastAsia="Arial" w:hAnsi="Arial"/>
          <w:b/>
          <w:bCs/>
          <w:sz w:val="21"/>
          <w:szCs w:val="21"/>
        </w:rPr>
        <w:t xml:space="preserve">17.8 Modificaciones y renuncias.</w:t>
      </w:r>
      <w:r>
        <w:rPr>
          <w:rFonts w:ascii="Arial" w:cs="Arial" w:eastAsia="Arial" w:hAnsi="Arial"/>
          <w:sz w:val="21"/>
          <w:szCs w:val="21"/>
        </w:rPr>
        <w:t xml:space="preserve"> Toda modificación debe constar por escrito firmado por LAS PARTES. No ejercer un derecho no implica renunciar a él.</w:t>
      </w:r>
    </w:p>
    <w:p>
      <w:pPr>
        <w:spacing w:after="140" w:line="300"/>
        <w:jc w:val="both"/>
      </w:pPr>
      <w:r>
        <w:rPr>
          <w:rFonts w:ascii="Arial" w:cs="Arial" w:eastAsia="Arial" w:hAnsi="Arial"/>
          <w:b/>
          <w:bCs/>
          <w:sz w:val="21"/>
          <w:szCs w:val="21"/>
        </w:rPr>
        <w:t xml:space="preserve">17.9 Divisibilidad.</w:t>
      </w:r>
      <w:r>
        <w:rPr>
          <w:rFonts w:ascii="Arial" w:cs="Arial" w:eastAsia="Arial" w:hAnsi="Arial"/>
          <w:sz w:val="21"/>
          <w:szCs w:val="21"/>
        </w:rPr>
        <w:t xml:space="preserve"> Si una cláusula resulta nula o ineficaz, las demás conservan su validez. En particular, ninguna estipulación de este Contrato se interpretará en contra del artículo 16 de la Ley 1116 de 2006.</w:t>
      </w:r>
    </w:p>
    <w:p>
      <w:pPr>
        <w:spacing w:after="140" w:line="300"/>
        <w:jc w:val="both"/>
      </w:pPr>
      <w:r>
        <w:rPr>
          <w:rFonts w:ascii="Arial" w:cs="Arial" w:eastAsia="Arial" w:hAnsi="Arial"/>
          <w:b/>
          <w:bCs/>
          <w:sz w:val="21"/>
          <w:szCs w:val="21"/>
        </w:rPr>
        <w:t xml:space="preserve">17.10 Acuerdo total.</w:t>
      </w:r>
      <w:r>
        <w:rPr>
          <w:rFonts w:ascii="Arial" w:cs="Arial" w:eastAsia="Arial" w:hAnsi="Arial"/>
          <w:sz w:val="21"/>
          <w:szCs w:val="21"/>
        </w:rPr>
        <w:t xml:space="preserve"> Este Contrato, con sus anexos y Órdenes de Servicio, contiene el acuerdo completo de LAS PARTES sobre su objeto y reemplaza los acuerdos y comunicaciones anteriores sobre la misma materia.</w:t>
      </w:r>
    </w:p>
    <w:p>
      <w:pPr>
        <w:spacing w:after="140" w:line="300"/>
        <w:jc w:val="both"/>
      </w:pPr>
      <w:r>
        <w:rPr>
          <w:rFonts w:ascii="Arial" w:cs="Arial" w:eastAsia="Arial" w:hAnsi="Arial"/>
          <w:b/>
          <w:bCs/>
          <w:sz w:val="21"/>
          <w:szCs w:val="21"/>
        </w:rPr>
        <w:t xml:space="preserve">17.11 Firma electrónica.</w:t>
      </w:r>
      <w:r>
        <w:rPr>
          <w:rFonts w:ascii="Arial" w:cs="Arial" w:eastAsia="Arial" w:hAnsi="Arial"/>
          <w:sz w:val="21"/>
          <w:szCs w:val="21"/>
        </w:rPr>
        <w:t xml:space="preserve"> LAS PARTES podrán firmar este Contrato, sus Órdenes de Servicio y anexos mediante firma electrónica o digital, con plena validez conforme a la Ley 527 de 1999 y al Decreto 1074 de 2015, y en varios ejemplares que constituyen un solo documento.</w:t>
      </w:r>
    </w:p>
    <w:p>
      <w:pPr>
        <w:spacing w:after="140" w:line="300"/>
        <w:jc w:val="both"/>
      </w:pPr>
      <w:r>
        <w:rPr>
          <w:rFonts w:ascii="Arial" w:cs="Arial" w:eastAsia="Arial" w:hAnsi="Arial"/>
          <w:b/>
          <w:bCs/>
          <w:sz w:val="21"/>
          <w:szCs w:val="21"/>
        </w:rPr>
        <w:t xml:space="preserve">17.12 Ley aplicable y domicilio.</w:t>
      </w:r>
      <w:r>
        <w:rPr>
          <w:rFonts w:ascii="Arial" w:cs="Arial" w:eastAsia="Arial" w:hAnsi="Arial"/>
          <w:sz w:val="21"/>
          <w:szCs w:val="21"/>
        </w:rPr>
        <w:t xml:space="preserve"> Este Contrato se rige por las leyes de la República de Colombia. Para todos los efectos su domicilio contractual es la ciudad de </w:t>
      </w:r>
      <w:r>
        <w:rPr>
          <w:rFonts w:ascii="Arial" w:cs="Arial" w:eastAsia="Arial" w:hAnsi="Arial"/>
          <w:sz w:val="21"/>
          <w:szCs w:val="21"/>
          <w:highlight w:val="yellow"/>
          <w:highlightCs w:val="yellow"/>
        </w:rPr>
        <w:t xml:space="preserve">[● ciudad]</w:t>
      </w:r>
      <w:r>
        <w:rPr>
          <w:rFonts w:ascii="Arial" w:cs="Arial" w:eastAsia="Arial" w:hAnsi="Arial"/>
          <w:sz w:val="21"/>
          <w:szCs w:val="21"/>
        </w:rPr>
        <w:t xml:space="preserve">.</w:t>
      </w:r>
    </w:p>
    <w:p>
      <w:pPr>
        <w:spacing w:after="140" w:line="300"/>
        <w:jc w:val="both"/>
      </w:pPr>
      <w:r>
        <w:rPr>
          <w:rFonts w:ascii="Arial" w:cs="Arial" w:eastAsia="Arial" w:hAnsi="Arial"/>
          <w:sz w:val="21"/>
          <w:szCs w:val="21"/>
        </w:rPr>
        <w:t xml:space="preserve">En constancia, se firma en </w:t>
      </w:r>
      <w:r>
        <w:rPr>
          <w:rFonts w:ascii="Arial" w:cs="Arial" w:eastAsia="Arial" w:hAnsi="Arial"/>
          <w:sz w:val="21"/>
          <w:szCs w:val="21"/>
          <w:highlight w:val="yellow"/>
          <w:highlightCs w:val="yellow"/>
        </w:rPr>
        <w:t xml:space="preserve">[● ciudad]</w:t>
      </w:r>
      <w:r>
        <w:rPr>
          <w:rFonts w:ascii="Arial" w:cs="Arial" w:eastAsia="Arial" w:hAnsi="Arial"/>
          <w:sz w:val="21"/>
          <w:szCs w:val="21"/>
        </w:rPr>
        <w:t xml:space="preserve"> el </w:t>
      </w:r>
      <w:r>
        <w:rPr>
          <w:rFonts w:ascii="Arial" w:cs="Arial" w:eastAsia="Arial" w:hAnsi="Arial"/>
          <w:sz w:val="21"/>
          <w:szCs w:val="21"/>
          <w:highlight w:val="yellow"/>
          <w:highlightCs w:val="yellow"/>
        </w:rPr>
        <w:t xml:space="preserve">[● día]</w:t>
      </w:r>
      <w:r>
        <w:rPr>
          <w:rFonts w:ascii="Arial" w:cs="Arial" w:eastAsia="Arial" w:hAnsi="Arial"/>
          <w:sz w:val="21"/>
          <w:szCs w:val="21"/>
        </w:rPr>
        <w:t xml:space="preserve"> de </w:t>
      </w:r>
      <w:r>
        <w:rPr>
          <w:rFonts w:ascii="Arial" w:cs="Arial" w:eastAsia="Arial" w:hAnsi="Arial"/>
          <w:sz w:val="21"/>
          <w:szCs w:val="21"/>
          <w:highlight w:val="yellow"/>
          <w:highlightCs w:val="yellow"/>
        </w:rPr>
        <w:t xml:space="preserve">[● mes]</w:t>
      </w:r>
      <w:r>
        <w:rPr>
          <w:rFonts w:ascii="Arial" w:cs="Arial" w:eastAsia="Arial" w:hAnsi="Arial"/>
          <w:sz w:val="21"/>
          <w:szCs w:val="21"/>
        </w:rPr>
        <w:t xml:space="preserve"> de </w:t>
      </w:r>
      <w:r>
        <w:rPr>
          <w:rFonts w:ascii="Arial" w:cs="Arial" w:eastAsia="Arial" w:hAnsi="Arial"/>
          <w:sz w:val="21"/>
          <w:szCs w:val="21"/>
          <w:highlight w:val="yellow"/>
          <w:highlightCs w:val="yellow"/>
        </w:rPr>
        <w:t xml:space="preserve">[● año]</w:t>
      </w:r>
      <w:r>
        <w:rPr>
          <w:rFonts w:ascii="Arial" w:cs="Arial" w:eastAsia="Arial" w:hAnsi="Arial"/>
          <w:sz w:val="21"/>
          <w:szCs w:val="21"/>
        </w:rPr>
        <w:t xml:space="preserve">.</w:t>
      </w:r>
    </w:p>
    <w:tbl>
      <w:tblPr>
        <w:tblW w:type="pct" w:w="100%"/>
        <w:tblBorders>
          <w:top w:val="single" w:color="BFC7D5" w:sz="4"/>
          <w:left w:val="single" w:color="BFC7D5" w:sz="4"/>
          <w:bottom w:val="single" w:color="BFC7D5" w:sz="4"/>
          <w:right w:val="single" w:color="BFC7D5" w:sz="4"/>
          <w:insideH w:val="single" w:color="BFC7D5" w:sz="4"/>
          <w:insideV w:val="single" w:color="BFC7D5" w:sz="4"/>
        </w:tblBorders>
      </w:tblPr>
      <w:tblGrid>
        <w:gridCol w:w="100"/>
        <w:gridCol w:w="100"/>
      </w:tblGrid>
      <w:tr>
        <w:trPr>
          <w:tblHeader/>
        </w:trPr>
        <w:tc>
          <w:tcPr>
            <w:shd w:fill="FDEBDD" w:color="auto" w:val="clear"/>
            <w:tcMar>
              <w:top w:type="dxa" w:w="80"/>
              <w:left w:type="dxa" w:w="120"/>
              <w:bottom w:type="dxa" w:w="80"/>
              <w:right w:type="dxa" w:w="120"/>
            </w:tcMar>
          </w:tcPr>
          <w:p>
            <w:r>
              <w:rPr>
                <w:rFonts w:ascii="Arial" w:cs="Arial" w:eastAsia="Arial" w:hAnsi="Arial"/>
                <w:b/>
                <w:bCs/>
                <w:sz w:val="20"/>
                <w:szCs w:val="20"/>
              </w:rPr>
              <w:t xml:space="preserve">EL PROVEEDOR</w:t>
            </w:r>
          </w:p>
        </w:tc>
        <w:tc>
          <w:tcPr>
            <w:shd w:fill="FDEBDD" w:color="auto" w:val="clear"/>
            <w:tcMar>
              <w:top w:type="dxa" w:w="80"/>
              <w:left w:type="dxa" w:w="120"/>
              <w:bottom w:type="dxa" w:w="80"/>
              <w:right w:type="dxa" w:w="120"/>
            </w:tcMar>
          </w:tcPr>
          <w:p>
            <w:r>
              <w:rPr>
                <w:rFonts w:ascii="Arial" w:cs="Arial" w:eastAsia="Arial" w:hAnsi="Arial"/>
                <w:b/>
                <w:bCs/>
                <w:sz w:val="20"/>
                <w:szCs w:val="20"/>
              </w:rPr>
              <w:t xml:space="preserve">EL CLIENTE</w:t>
            </w:r>
          </w:p>
        </w:tc>
      </w:tr>
      <w:tr>
        <w:trPr>
          <w:tblHeader w:val="false"/>
        </w:trPr>
        <w:tc>
          <w:tcPr>
            <w:tcMar>
              <w:top w:type="dxa" w:w="80"/>
              <w:left w:type="dxa" w:w="120"/>
              <w:bottom w:type="dxa" w:w="80"/>
              <w:right w:type="dxa" w:w="120"/>
            </w:tcMar>
          </w:tcPr>
          <w:p>
            <w:r>
              <w:rPr>
                <w:rFonts w:ascii="Arial" w:cs="Arial" w:eastAsia="Arial" w:hAnsi="Arial"/>
                <w:sz w:val="20"/>
                <w:szCs w:val="20"/>
                <w:highlight w:val="yellow"/>
                <w:highlightCs w:val="yellow"/>
              </w:rPr>
              <w:t xml:space="preserve">[● Nombre del representante]</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Nombre del representante]</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C. C. </w:t>
            </w:r>
            <w:r>
              <w:rPr>
                <w:rFonts w:ascii="Arial" w:cs="Arial" w:eastAsia="Arial" w:hAnsi="Arial"/>
                <w:sz w:val="20"/>
                <w:szCs w:val="20"/>
                <w:highlight w:val="yellow"/>
                <w:highlightCs w:val="yellow"/>
              </w:rPr>
              <w:t xml:space="preserve">[● número]</w:t>
            </w:r>
          </w:p>
        </w:tc>
        <w:tc>
          <w:tcPr>
            <w:tcMar>
              <w:top w:type="dxa" w:w="80"/>
              <w:left w:type="dxa" w:w="120"/>
              <w:bottom w:type="dxa" w:w="80"/>
              <w:right w:type="dxa" w:w="120"/>
            </w:tcMar>
          </w:tcPr>
          <w:p>
            <w:r>
              <w:rPr>
                <w:rFonts w:ascii="Arial" w:cs="Arial" w:eastAsia="Arial" w:hAnsi="Arial"/>
                <w:sz w:val="20"/>
                <w:szCs w:val="20"/>
              </w:rPr>
              <w:t xml:space="preserve">C. C. </w:t>
            </w:r>
            <w:r>
              <w:rPr>
                <w:rFonts w:ascii="Arial" w:cs="Arial" w:eastAsia="Arial" w:hAnsi="Arial"/>
                <w:sz w:val="20"/>
                <w:szCs w:val="20"/>
                <w:highlight w:val="yellow"/>
                <w:highlightCs w:val="yellow"/>
              </w:rPr>
              <w:t xml:space="preserve">[● número]</w:t>
            </w:r>
          </w:p>
        </w:tc>
      </w:tr>
      <w:tr>
        <w:trPr>
          <w:tblHeader w:val="false"/>
        </w:trPr>
        <w:tc>
          <w:tcPr>
            <w:tcMar>
              <w:top w:type="dxa" w:w="80"/>
              <w:left w:type="dxa" w:w="120"/>
              <w:bottom w:type="dxa" w:w="80"/>
              <w:right w:type="dxa" w:w="120"/>
            </w:tcMar>
          </w:tcPr>
          <w:p>
            <w:r>
              <w:rPr>
                <w:rFonts w:ascii="Arial" w:cs="Arial" w:eastAsia="Arial" w:hAnsi="Arial"/>
                <w:sz w:val="20"/>
                <w:szCs w:val="20"/>
                <w:highlight w:val="yellow"/>
                <w:highlightCs w:val="yellow"/>
              </w:rPr>
              <w:t xml:space="preserve">[● Cargo]</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Cargo]</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Firma: ______________________</w:t>
            </w:r>
          </w:p>
        </w:tc>
        <w:tc>
          <w:tcPr>
            <w:tcMar>
              <w:top w:type="dxa" w:w="80"/>
              <w:left w:type="dxa" w:w="120"/>
              <w:bottom w:type="dxa" w:w="80"/>
              <w:right w:type="dxa" w:w="120"/>
            </w:tcMar>
          </w:tcPr>
          <w:p>
            <w:r>
              <w:rPr>
                <w:rFonts w:ascii="Arial" w:cs="Arial" w:eastAsia="Arial" w:hAnsi="Arial"/>
                <w:sz w:val="20"/>
                <w:szCs w:val="20"/>
              </w:rPr>
              <w:t xml:space="preserve">Firma: ______________________</w:t>
            </w:r>
          </w:p>
        </w:tc>
      </w:tr>
    </w:tbl>
    <w:p>
      <w:pPr>
        <w:spacing w:after="120"/>
      </w:pPr>
    </w:p>
    <w:p>
      <w:r>
        <w:br w:type="page"/>
      </w:r>
    </w:p>
    <w:p>
      <w:pPr>
        <w:keepNext/>
        <w:spacing w:after="120" w:before="320"/>
      </w:pPr>
      <w:r>
        <w:rPr>
          <w:rFonts w:ascii="Arial" w:cs="Arial" w:eastAsia="Arial" w:hAnsi="Arial"/>
          <w:b/>
          <w:bCs/>
          <w:color w:val="1E293B"/>
          <w:sz w:val="23"/>
          <w:szCs w:val="23"/>
        </w:rPr>
        <w:t xml:space="preserve">ANEXO A. ORDEN DE SERVICIO N.º </w:t>
      </w:r>
      <w:r>
        <w:rPr>
          <w:rFonts w:ascii="Arial" w:cs="Arial" w:eastAsia="Arial" w:hAnsi="Arial"/>
          <w:b/>
          <w:bCs/>
          <w:color w:val="1E293B"/>
          <w:sz w:val="23"/>
          <w:szCs w:val="23"/>
          <w:highlight w:val="yellow"/>
          <w:highlightCs w:val="yellow"/>
        </w:rPr>
        <w:t xml:space="preserve">[● NÚMERO]</w:t>
      </w:r>
    </w:p>
    <w:p>
      <w:pPr>
        <w:spacing w:after="140" w:line="300"/>
        <w:jc w:val="both"/>
      </w:pPr>
      <w:r>
        <w:rPr>
          <w:rFonts w:ascii="Arial" w:cs="Arial" w:eastAsia="Arial" w:hAnsi="Arial"/>
          <w:sz w:val="21"/>
          <w:szCs w:val="21"/>
        </w:rPr>
        <w:t xml:space="preserve">Esta Orden de Servicio se rige por el Contrato Marco de Prestación de Servicios celebrado entre LAS PARTES el </w:t>
      </w:r>
      <w:r>
        <w:rPr>
          <w:rFonts w:ascii="Arial" w:cs="Arial" w:eastAsia="Arial" w:hAnsi="Arial"/>
          <w:sz w:val="21"/>
          <w:szCs w:val="21"/>
          <w:highlight w:val="yellow"/>
          <w:highlightCs w:val="yellow"/>
        </w:rPr>
        <w:t xml:space="preserve">[● fecha]</w:t>
      </w:r>
      <w:r>
        <w:rPr>
          <w:rFonts w:ascii="Arial" w:cs="Arial" w:eastAsia="Arial" w:hAnsi="Arial"/>
          <w:sz w:val="21"/>
          <w:szCs w:val="21"/>
        </w:rPr>
        <w:t xml:space="preserve">. Las palabras con mayúscula inicial tienen el significado allí definido.</w:t>
      </w:r>
    </w:p>
    <w:tbl>
      <w:tblPr>
        <w:tblW w:type="pct" w:w="100%"/>
        <w:tblBorders>
          <w:top w:val="single" w:color="BFC7D5" w:sz="4"/>
          <w:left w:val="single" w:color="BFC7D5" w:sz="4"/>
          <w:bottom w:val="single" w:color="BFC7D5" w:sz="4"/>
          <w:right w:val="single" w:color="BFC7D5" w:sz="4"/>
          <w:insideH w:val="single" w:color="BFC7D5" w:sz="4"/>
          <w:insideV w:val="single" w:color="BFC7D5" w:sz="4"/>
        </w:tblBorders>
      </w:tblPr>
      <w:tblGrid>
        <w:gridCol w:w="100"/>
        <w:gridCol w:w="100"/>
      </w:tblGrid>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Cliente</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Razón social y NIT]</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Contacto del contrato</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Nombre, cargo, correo y teléfono]</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Contacto de facturación</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Nombre, correo para factura electrónica]</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Plan o módulos contratados</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Por ejemplo: geodesia y PPP, Control de Obra, visores, asistente de IA]</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Usuarios Autorizados</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Número de cupos]</w:t>
            </w:r>
            <w:r>
              <w:rPr>
                <w:rFonts w:ascii="Arial" w:cs="Arial" w:eastAsia="Arial" w:hAnsi="Arial"/>
                <w:sz w:val="20"/>
                <w:szCs w:val="20"/>
              </w:rPr>
              <w:t xml:space="preserve"> · precio por cupo adicional: </w:t>
            </w:r>
            <w:r>
              <w:rPr>
                <w:rFonts w:ascii="Arial" w:cs="Arial" w:eastAsia="Arial" w:hAnsi="Arial"/>
                <w:sz w:val="20"/>
                <w:szCs w:val="20"/>
                <w:highlight w:val="yellow"/>
                <w:highlightCs w:val="yellow"/>
              </w:rPr>
              <w:t xml:space="preserve">[● valor]</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Servicios profesionales</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Capacitación, implementación, procesamiento o desarrollo: alcance y entregables]</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Precio</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Valor en pesos colombianos antes de IVA]</w:t>
            </w:r>
            <w:r>
              <w:rPr>
                <w:rFonts w:ascii="Arial" w:cs="Arial" w:eastAsia="Arial" w:hAnsi="Arial"/>
                <w:sz w:val="20"/>
                <w:szCs w:val="20"/>
              </w:rPr>
              <w:t xml:space="preserve"> + IVA y demás impuestos que se causen</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Periodicidad de facturación</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Mensual, trimestral o anual, anticipada o vencida]</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Plazo de pago</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30]</w:t>
            </w:r>
            <w:r>
              <w:rPr>
                <w:rFonts w:ascii="Arial" w:cs="Arial" w:eastAsia="Arial" w:hAnsi="Arial"/>
                <w:sz w:val="20"/>
                <w:szCs w:val="20"/>
              </w:rPr>
              <w:t xml:space="preserve"> días calendario desde la recepción de la factura electrónica</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Fecha de inicio</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fecha]</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Vigencia</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12 meses]</w:t>
            </w:r>
            <w:r>
              <w:rPr>
                <w:rFonts w:ascii="Arial" w:cs="Arial" w:eastAsia="Arial" w:hAnsi="Arial"/>
                <w:sz w:val="20"/>
                <w:szCs w:val="20"/>
              </w:rPr>
              <w:t xml:space="preserve">, con renovación automática salvo aviso con 30 días de anticipación</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Nivel de soporte</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Estándar o prioritario, según el Anexo B]</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Condiciones especiales</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Si aplica: cesión de derechos sobre desarrollos, datos sensibles, cupos, descuentos]</w:t>
            </w:r>
          </w:p>
        </w:tc>
      </w:tr>
      <w:tr>
        <w:trPr>
          <w:tblHeader w:val="false"/>
        </w:trPr>
        <w:tc>
          <w:tcPr>
            <w:shd w:fill="F4F6FA" w:color="auto" w:val="clear"/>
            <w:tcMar>
              <w:top w:type="dxa" w:w="80"/>
              <w:left w:type="dxa" w:w="120"/>
              <w:bottom w:type="dxa" w:w="80"/>
              <w:right w:type="dxa" w:w="120"/>
            </w:tcMar>
          </w:tcPr>
          <w:p>
            <w:r>
              <w:rPr>
                <w:rFonts w:ascii="Arial" w:cs="Arial" w:eastAsia="Arial" w:hAnsi="Arial"/>
                <w:b/>
                <w:bCs/>
                <w:sz w:val="20"/>
                <w:szCs w:val="20"/>
              </w:rPr>
              <w:t xml:space="preserve">EL PROVEEDOR</w:t>
            </w:r>
          </w:p>
        </w:tc>
        <w:tc>
          <w:tcPr>
            <w:tcMar>
              <w:top w:type="dxa" w:w="80"/>
              <w:left w:type="dxa" w:w="120"/>
              <w:bottom w:type="dxa" w:w="80"/>
              <w:right w:type="dxa" w:w="120"/>
            </w:tcMar>
          </w:tcPr>
          <w:p>
            <w:r>
              <w:rPr>
                <w:rFonts w:ascii="Arial" w:cs="Arial" w:eastAsia="Arial" w:hAnsi="Arial"/>
                <w:b/>
                <w:bCs/>
                <w:sz w:val="20"/>
                <w:szCs w:val="20"/>
              </w:rPr>
              <w:t xml:space="preserve">EL CLIENTE</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Firma: ______________________</w:t>
            </w:r>
          </w:p>
        </w:tc>
        <w:tc>
          <w:tcPr>
            <w:tcMar>
              <w:top w:type="dxa" w:w="80"/>
              <w:left w:type="dxa" w:w="120"/>
              <w:bottom w:type="dxa" w:w="80"/>
              <w:right w:type="dxa" w:w="120"/>
            </w:tcMar>
          </w:tcPr>
          <w:p>
            <w:r>
              <w:rPr>
                <w:rFonts w:ascii="Arial" w:cs="Arial" w:eastAsia="Arial" w:hAnsi="Arial"/>
                <w:sz w:val="20"/>
                <w:szCs w:val="20"/>
              </w:rPr>
              <w:t xml:space="preserve">Firma: ______________________</w:t>
            </w:r>
          </w:p>
        </w:tc>
      </w:tr>
    </w:tbl>
    <w:p>
      <w:pPr>
        <w:spacing w:after="120"/>
      </w:pPr>
    </w:p>
    <w:p>
      <w:r>
        <w:br w:type="page"/>
      </w:r>
    </w:p>
    <w:p>
      <w:pPr>
        <w:keepNext/>
        <w:spacing w:after="120" w:before="320"/>
      </w:pPr>
      <w:r>
        <w:rPr>
          <w:rFonts w:ascii="Arial" w:cs="Arial" w:eastAsia="Arial" w:hAnsi="Arial"/>
          <w:b/>
          <w:bCs/>
          <w:color w:val="1E293B"/>
          <w:sz w:val="23"/>
          <w:szCs w:val="23"/>
        </w:rPr>
        <w:t xml:space="preserve">ANEXO B. SOPORTE Y NIVELES DE SERVICIO</w:t>
      </w:r>
    </w:p>
    <w:p>
      <w:pPr>
        <w:keepNext/>
        <w:spacing w:after="80" w:before="200"/>
      </w:pPr>
      <w:r>
        <w:rPr>
          <w:rFonts w:ascii="Arial" w:cs="Arial" w:eastAsia="Arial" w:hAnsi="Arial"/>
          <w:b/>
          <w:bCs/>
          <w:sz w:val="22"/>
          <w:szCs w:val="22"/>
        </w:rPr>
        <w:t xml:space="preserve">1. Canales y horario</w:t>
      </w:r>
    </w:p>
    <w:p>
      <w:pPr>
        <w:spacing w:after="140" w:line="300"/>
        <w:jc w:val="both"/>
      </w:pPr>
      <w:r>
        <w:rPr>
          <w:rFonts w:ascii="Arial" w:cs="Arial" w:eastAsia="Arial" w:hAnsi="Arial"/>
          <w:sz w:val="21"/>
          <w:szCs w:val="21"/>
        </w:rPr>
        <w:t xml:space="preserve">El soporte se presta en español por correo electrónico a </w:t>
      </w:r>
      <w:r>
        <w:rPr>
          <w:rFonts w:ascii="Arial" w:cs="Arial" w:eastAsia="Arial" w:hAnsi="Arial"/>
          <w:sz w:val="21"/>
          <w:szCs w:val="21"/>
          <w:highlight w:val="yellow"/>
          <w:highlightCs w:val="yellow"/>
        </w:rPr>
        <w:t xml:space="preserve">[● correo de soporte]</w:t>
      </w:r>
      <w:r>
        <w:rPr>
          <w:rFonts w:ascii="Arial" w:cs="Arial" w:eastAsia="Arial" w:hAnsi="Arial"/>
          <w:sz w:val="21"/>
          <w:szCs w:val="21"/>
        </w:rPr>
        <w:t xml:space="preserve"> y por los demás canales que indique la Orden de Servicio, en días hábiles de lunes a viernes de 8:00 a. m. a 6:00 p. m., hora de Colombia, salvo que la Orden de Servicio pacte un horario extendido.</w:t>
      </w:r>
    </w:p>
    <w:p>
      <w:pPr>
        <w:keepNext/>
        <w:spacing w:after="80" w:before="200"/>
      </w:pPr>
      <w:r>
        <w:rPr>
          <w:rFonts w:ascii="Arial" w:cs="Arial" w:eastAsia="Arial" w:hAnsi="Arial"/>
          <w:b/>
          <w:bCs/>
          <w:sz w:val="22"/>
          <w:szCs w:val="22"/>
        </w:rPr>
        <w:t xml:space="preserve">2. Prioridades y tiempos de primera respuesta</w:t>
      </w:r>
    </w:p>
    <w:tbl>
      <w:tblPr>
        <w:tblW w:type="pct" w:w="100%"/>
        <w:tblBorders>
          <w:top w:val="single" w:color="BFC7D5" w:sz="4"/>
          <w:left w:val="single" w:color="BFC7D5" w:sz="4"/>
          <w:bottom w:val="single" w:color="BFC7D5" w:sz="4"/>
          <w:right w:val="single" w:color="BFC7D5" w:sz="4"/>
          <w:insideH w:val="single" w:color="BFC7D5" w:sz="4"/>
          <w:insideV w:val="single" w:color="BFC7D5" w:sz="4"/>
        </w:tblBorders>
      </w:tblPr>
      <w:tblGrid>
        <w:gridCol w:w="100"/>
        <w:gridCol w:w="100"/>
        <w:gridCol w:w="100"/>
        <w:gridCol w:w="100"/>
      </w:tblGrid>
      <w:tr>
        <w:trPr>
          <w:tblHeader/>
        </w:trPr>
        <w:tc>
          <w:tcPr>
            <w:shd w:fill="FDEBDD" w:color="auto" w:val="clear"/>
            <w:tcMar>
              <w:top w:type="dxa" w:w="80"/>
              <w:left w:type="dxa" w:w="120"/>
              <w:bottom w:type="dxa" w:w="80"/>
              <w:right w:type="dxa" w:w="120"/>
            </w:tcMar>
          </w:tcPr>
          <w:p>
            <w:r>
              <w:rPr>
                <w:rFonts w:ascii="Arial" w:cs="Arial" w:eastAsia="Arial" w:hAnsi="Arial"/>
                <w:b/>
                <w:bCs/>
                <w:sz w:val="20"/>
                <w:szCs w:val="20"/>
              </w:rPr>
              <w:t xml:space="preserve">Prioridad</w:t>
            </w:r>
          </w:p>
        </w:tc>
        <w:tc>
          <w:tcPr>
            <w:shd w:fill="FDEBDD" w:color="auto" w:val="clear"/>
            <w:tcMar>
              <w:top w:type="dxa" w:w="80"/>
              <w:left w:type="dxa" w:w="120"/>
              <w:bottom w:type="dxa" w:w="80"/>
              <w:right w:type="dxa" w:w="120"/>
            </w:tcMar>
          </w:tcPr>
          <w:p>
            <w:r>
              <w:rPr>
                <w:rFonts w:ascii="Arial" w:cs="Arial" w:eastAsia="Arial" w:hAnsi="Arial"/>
                <w:b/>
                <w:bCs/>
                <w:sz w:val="20"/>
                <w:szCs w:val="20"/>
              </w:rPr>
              <w:t xml:space="preserve">Situación</w:t>
            </w:r>
          </w:p>
        </w:tc>
        <w:tc>
          <w:tcPr>
            <w:shd w:fill="FDEBDD" w:color="auto" w:val="clear"/>
            <w:tcMar>
              <w:top w:type="dxa" w:w="80"/>
              <w:left w:type="dxa" w:w="120"/>
              <w:bottom w:type="dxa" w:w="80"/>
              <w:right w:type="dxa" w:w="120"/>
            </w:tcMar>
          </w:tcPr>
          <w:p>
            <w:r>
              <w:rPr>
                <w:rFonts w:ascii="Arial" w:cs="Arial" w:eastAsia="Arial" w:hAnsi="Arial"/>
                <w:b/>
                <w:bCs/>
                <w:sz w:val="20"/>
                <w:szCs w:val="20"/>
              </w:rPr>
              <w:t xml:space="preserve">Estándar</w:t>
            </w:r>
          </w:p>
        </w:tc>
        <w:tc>
          <w:tcPr>
            <w:shd w:fill="FDEBDD" w:color="auto" w:val="clear"/>
            <w:tcMar>
              <w:top w:type="dxa" w:w="80"/>
              <w:left w:type="dxa" w:w="120"/>
              <w:bottom w:type="dxa" w:w="80"/>
              <w:right w:type="dxa" w:w="120"/>
            </w:tcMar>
          </w:tcPr>
          <w:p>
            <w:r>
              <w:rPr>
                <w:rFonts w:ascii="Arial" w:cs="Arial" w:eastAsia="Arial" w:hAnsi="Arial"/>
                <w:b/>
                <w:bCs/>
                <w:sz w:val="20"/>
                <w:szCs w:val="20"/>
              </w:rPr>
              <w:t xml:space="preserve">Prioritario</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Crítica</w:t>
            </w:r>
          </w:p>
        </w:tc>
        <w:tc>
          <w:tcPr>
            <w:tcMar>
              <w:top w:type="dxa" w:w="80"/>
              <w:left w:type="dxa" w:w="120"/>
              <w:bottom w:type="dxa" w:w="80"/>
              <w:right w:type="dxa" w:w="120"/>
            </w:tcMar>
          </w:tcPr>
          <w:p>
            <w:r>
              <w:rPr>
                <w:rFonts w:ascii="Arial" w:cs="Arial" w:eastAsia="Arial" w:hAnsi="Arial"/>
                <w:sz w:val="20"/>
                <w:szCs w:val="20"/>
              </w:rPr>
              <w:t xml:space="preserve">La Plataforma no está disponible para todos los Usuarios Autorizados</w:t>
            </w:r>
          </w:p>
        </w:tc>
        <w:tc>
          <w:tcPr>
            <w:tcMar>
              <w:top w:type="dxa" w:w="80"/>
              <w:left w:type="dxa" w:w="120"/>
              <w:bottom w:type="dxa" w:w="80"/>
              <w:right w:type="dxa" w:w="120"/>
            </w:tcMar>
          </w:tcPr>
          <w:p>
            <w:r>
              <w:rPr>
                <w:rFonts w:ascii="Arial" w:cs="Arial" w:eastAsia="Arial" w:hAnsi="Arial"/>
                <w:sz w:val="20"/>
                <w:szCs w:val="20"/>
              </w:rPr>
              <w:t xml:space="preserve">8 horas hábiles</w:t>
            </w:r>
          </w:p>
        </w:tc>
        <w:tc>
          <w:tcPr>
            <w:tcMar>
              <w:top w:type="dxa" w:w="80"/>
              <w:left w:type="dxa" w:w="120"/>
              <w:bottom w:type="dxa" w:w="80"/>
              <w:right w:type="dxa" w:w="120"/>
            </w:tcMar>
          </w:tcPr>
          <w:p>
            <w:r>
              <w:rPr>
                <w:rFonts w:ascii="Arial" w:cs="Arial" w:eastAsia="Arial" w:hAnsi="Arial"/>
                <w:sz w:val="20"/>
                <w:szCs w:val="20"/>
              </w:rPr>
              <w:t xml:space="preserve">2 horas hábiles</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Alta</w:t>
            </w:r>
          </w:p>
        </w:tc>
        <w:tc>
          <w:tcPr>
            <w:tcMar>
              <w:top w:type="dxa" w:w="80"/>
              <w:left w:type="dxa" w:w="120"/>
              <w:bottom w:type="dxa" w:w="80"/>
              <w:right w:type="dxa" w:w="120"/>
            </w:tcMar>
          </w:tcPr>
          <w:p>
            <w:r>
              <w:rPr>
                <w:rFonts w:ascii="Arial" w:cs="Arial" w:eastAsia="Arial" w:hAnsi="Arial"/>
                <w:sz w:val="20"/>
                <w:szCs w:val="20"/>
              </w:rPr>
              <w:t xml:space="preserve">Una función principal no sirve y no hay alternativa</w:t>
            </w:r>
          </w:p>
        </w:tc>
        <w:tc>
          <w:tcPr>
            <w:tcMar>
              <w:top w:type="dxa" w:w="80"/>
              <w:left w:type="dxa" w:w="120"/>
              <w:bottom w:type="dxa" w:w="80"/>
              <w:right w:type="dxa" w:w="120"/>
            </w:tcMar>
          </w:tcPr>
          <w:p>
            <w:r>
              <w:rPr>
                <w:rFonts w:ascii="Arial" w:cs="Arial" w:eastAsia="Arial" w:hAnsi="Arial"/>
                <w:sz w:val="20"/>
                <w:szCs w:val="20"/>
              </w:rPr>
              <w:t xml:space="preserve">1 día hábil</w:t>
            </w:r>
          </w:p>
        </w:tc>
        <w:tc>
          <w:tcPr>
            <w:tcMar>
              <w:top w:type="dxa" w:w="80"/>
              <w:left w:type="dxa" w:w="120"/>
              <w:bottom w:type="dxa" w:w="80"/>
              <w:right w:type="dxa" w:w="120"/>
            </w:tcMar>
          </w:tcPr>
          <w:p>
            <w:r>
              <w:rPr>
                <w:rFonts w:ascii="Arial" w:cs="Arial" w:eastAsia="Arial" w:hAnsi="Arial"/>
                <w:sz w:val="20"/>
                <w:szCs w:val="20"/>
              </w:rPr>
              <w:t xml:space="preserve">4 horas hábiles</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Media</w:t>
            </w:r>
          </w:p>
        </w:tc>
        <w:tc>
          <w:tcPr>
            <w:tcMar>
              <w:top w:type="dxa" w:w="80"/>
              <w:left w:type="dxa" w:w="120"/>
              <w:bottom w:type="dxa" w:w="80"/>
              <w:right w:type="dxa" w:w="120"/>
            </w:tcMar>
          </w:tcPr>
          <w:p>
            <w:r>
              <w:rPr>
                <w:rFonts w:ascii="Arial" w:cs="Arial" w:eastAsia="Arial" w:hAnsi="Arial"/>
                <w:sz w:val="20"/>
                <w:szCs w:val="20"/>
              </w:rPr>
              <w:t xml:space="preserve">Falla con alternativa razonable</w:t>
            </w:r>
          </w:p>
        </w:tc>
        <w:tc>
          <w:tcPr>
            <w:tcMar>
              <w:top w:type="dxa" w:w="80"/>
              <w:left w:type="dxa" w:w="120"/>
              <w:bottom w:type="dxa" w:w="80"/>
              <w:right w:type="dxa" w:w="120"/>
            </w:tcMar>
          </w:tcPr>
          <w:p>
            <w:r>
              <w:rPr>
                <w:rFonts w:ascii="Arial" w:cs="Arial" w:eastAsia="Arial" w:hAnsi="Arial"/>
                <w:sz w:val="20"/>
                <w:szCs w:val="20"/>
              </w:rPr>
              <w:t xml:space="preserve">2 días hábiles</w:t>
            </w:r>
          </w:p>
        </w:tc>
        <w:tc>
          <w:tcPr>
            <w:tcMar>
              <w:top w:type="dxa" w:w="80"/>
              <w:left w:type="dxa" w:w="120"/>
              <w:bottom w:type="dxa" w:w="80"/>
              <w:right w:type="dxa" w:w="120"/>
            </w:tcMar>
          </w:tcPr>
          <w:p>
            <w:r>
              <w:rPr>
                <w:rFonts w:ascii="Arial" w:cs="Arial" w:eastAsia="Arial" w:hAnsi="Arial"/>
                <w:sz w:val="20"/>
                <w:szCs w:val="20"/>
              </w:rPr>
              <w:t xml:space="preserve">1 día hábil</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Baja</w:t>
            </w:r>
          </w:p>
        </w:tc>
        <w:tc>
          <w:tcPr>
            <w:tcMar>
              <w:top w:type="dxa" w:w="80"/>
              <w:left w:type="dxa" w:w="120"/>
              <w:bottom w:type="dxa" w:w="80"/>
              <w:right w:type="dxa" w:w="120"/>
            </w:tcMar>
          </w:tcPr>
          <w:p>
            <w:r>
              <w:rPr>
                <w:rFonts w:ascii="Arial" w:cs="Arial" w:eastAsia="Arial" w:hAnsi="Arial"/>
                <w:sz w:val="20"/>
                <w:szCs w:val="20"/>
              </w:rPr>
              <w:t xml:space="preserve">Consultas de uso, mejoras o documentación</w:t>
            </w:r>
          </w:p>
        </w:tc>
        <w:tc>
          <w:tcPr>
            <w:tcMar>
              <w:top w:type="dxa" w:w="80"/>
              <w:left w:type="dxa" w:w="120"/>
              <w:bottom w:type="dxa" w:w="80"/>
              <w:right w:type="dxa" w:w="120"/>
            </w:tcMar>
          </w:tcPr>
          <w:p>
            <w:r>
              <w:rPr>
                <w:rFonts w:ascii="Arial" w:cs="Arial" w:eastAsia="Arial" w:hAnsi="Arial"/>
                <w:sz w:val="20"/>
                <w:szCs w:val="20"/>
              </w:rPr>
              <w:t xml:space="preserve">5 días hábiles</w:t>
            </w:r>
          </w:p>
        </w:tc>
        <w:tc>
          <w:tcPr>
            <w:tcMar>
              <w:top w:type="dxa" w:w="80"/>
              <w:left w:type="dxa" w:w="120"/>
              <w:bottom w:type="dxa" w:w="80"/>
              <w:right w:type="dxa" w:w="120"/>
            </w:tcMar>
          </w:tcPr>
          <w:p>
            <w:r>
              <w:rPr>
                <w:rFonts w:ascii="Arial" w:cs="Arial" w:eastAsia="Arial" w:hAnsi="Arial"/>
                <w:sz w:val="20"/>
                <w:szCs w:val="20"/>
              </w:rPr>
              <w:t xml:space="preserve">2 días hábiles</w:t>
            </w:r>
          </w:p>
        </w:tc>
      </w:tr>
    </w:tbl>
    <w:p>
      <w:pPr>
        <w:spacing w:after="120"/>
      </w:pPr>
    </w:p>
    <w:p>
      <w:pPr>
        <w:spacing w:after="140" w:line="300"/>
        <w:jc w:val="both"/>
      </w:pPr>
      <w:r>
        <w:rPr>
          <w:rFonts w:ascii="Arial" w:cs="Arial" w:eastAsia="Arial" w:hAnsi="Arial"/>
          <w:sz w:val="21"/>
          <w:szCs w:val="21"/>
        </w:rPr>
        <w:t xml:space="preserve">Los tiempos son de primera respuesta y diagnóstico; EL PROVEEDOR trabajará con diligencia hasta la solución o una alternativa razonable.</w:t>
      </w:r>
    </w:p>
    <w:p>
      <w:pPr>
        <w:keepNext/>
        <w:spacing w:after="80" w:before="200"/>
      </w:pPr>
      <w:r>
        <w:rPr>
          <w:rFonts w:ascii="Arial" w:cs="Arial" w:eastAsia="Arial" w:hAnsi="Arial"/>
          <w:b/>
          <w:bCs/>
          <w:sz w:val="22"/>
          <w:szCs w:val="22"/>
        </w:rPr>
        <w:t xml:space="preserve">3. Disponibilidad</w:t>
      </w:r>
    </w:p>
    <w:p>
      <w:pPr>
        <w:spacing w:after="140" w:line="300"/>
        <w:jc w:val="both"/>
      </w:pPr>
      <w:r>
        <w:rPr>
          <w:rFonts w:ascii="Arial" w:cs="Arial" w:eastAsia="Arial" w:hAnsi="Arial"/>
          <w:sz w:val="21"/>
          <w:szCs w:val="21"/>
        </w:rPr>
        <w:t xml:space="preserve">EL PROVEEDOR procurará una disponibilidad mensual de la Plataforma de </w:t>
      </w:r>
      <w:r>
        <w:rPr>
          <w:rFonts w:ascii="Arial" w:cs="Arial" w:eastAsia="Arial" w:hAnsi="Arial"/>
          <w:sz w:val="21"/>
          <w:szCs w:val="21"/>
          <w:highlight w:val="yellow"/>
          <w:highlightCs w:val="yellow"/>
        </w:rPr>
        <w:t xml:space="preserve">[● 99,0]</w:t>
      </w:r>
      <w:r>
        <w:rPr>
          <w:rFonts w:ascii="Arial" w:cs="Arial" w:eastAsia="Arial" w:hAnsi="Arial"/>
          <w:sz w:val="21"/>
          <w:szCs w:val="21"/>
        </w:rPr>
        <w:t xml:space="preserve"> %, sin contar el mantenimiento programado, que avisará con al menos cuarenta y ocho (48) horas de anticipación y realizará preferiblemente fuera del horario hábil, ni las fallas de Servicios de Terceros, de internet o de los equipos de EL CLIENTE. Esta meta no genera compensaciones económicas, salvo que la Orden de Servicio pacte créditos de servicio.</w:t>
      </w:r>
    </w:p>
    <w:p>
      <w:pPr>
        <w:keepNext/>
        <w:spacing w:after="80" w:before="200"/>
      </w:pPr>
      <w:r>
        <w:rPr>
          <w:rFonts w:ascii="Arial" w:cs="Arial" w:eastAsia="Arial" w:hAnsi="Arial"/>
          <w:b/>
          <w:bCs/>
          <w:sz w:val="22"/>
          <w:szCs w:val="22"/>
        </w:rPr>
        <w:t xml:space="preserve">4. Responsabilidades de EL CLIENTE</w:t>
      </w:r>
    </w:p>
    <w:p>
      <w:pPr>
        <w:spacing w:after="140" w:line="300"/>
        <w:jc w:val="both"/>
      </w:pPr>
      <w:r>
        <w:rPr>
          <w:rFonts w:ascii="Arial" w:cs="Arial" w:eastAsia="Arial" w:hAnsi="Arial"/>
          <w:sz w:val="21"/>
          <w:szCs w:val="21"/>
        </w:rPr>
        <w:t xml:space="preserve">Reportar las fallas con la información necesaria para reproducirlas (pasos, capturas, archivos de ejemplo), mantener navegadores actualizados y respaldar la información de los módulos que la guardan en el navegador (cláusula 3.7).</w:t>
      </w:r>
    </w:p>
    <w:p>
      <w:r>
        <w:br w:type="page"/>
      </w:r>
    </w:p>
    <w:p>
      <w:pPr>
        <w:keepNext/>
        <w:spacing w:after="120" w:before="320"/>
      </w:pPr>
      <w:r>
        <w:rPr>
          <w:rFonts w:ascii="Arial" w:cs="Arial" w:eastAsia="Arial" w:hAnsi="Arial"/>
          <w:b/>
          <w:bCs/>
          <w:color w:val="1E293B"/>
          <w:sz w:val="23"/>
          <w:szCs w:val="23"/>
        </w:rPr>
        <w:t xml:space="preserve">ANEXO C. CONTRATO DE TRANSMISIÓN DE DATOS PERSONALES</w:t>
      </w:r>
    </w:p>
    <w:p>
      <w:pPr>
        <w:spacing w:after="140" w:line="300"/>
        <w:jc w:val="both"/>
      </w:pPr>
      <w:r>
        <w:rPr>
          <w:rFonts w:ascii="Arial" w:cs="Arial" w:eastAsia="Arial" w:hAnsi="Arial"/>
          <w:sz w:val="21"/>
          <w:szCs w:val="21"/>
        </w:rPr>
        <w:t xml:space="preserve">Este anexo constituye el contrato de transmisión de datos personales previsto en el artículo 2.2.2.25.5.2 del Decreto 1074 de 2015, entre EL CLIENTE, como </w:t>
      </w:r>
      <w:r>
        <w:rPr>
          <w:rFonts w:ascii="Arial" w:cs="Arial" w:eastAsia="Arial" w:hAnsi="Arial"/>
          <w:b/>
          <w:bCs/>
          <w:sz w:val="21"/>
          <w:szCs w:val="21"/>
        </w:rPr>
        <w:t xml:space="preserve">responsable</w:t>
      </w:r>
      <w:r>
        <w:rPr>
          <w:rFonts w:ascii="Arial" w:cs="Arial" w:eastAsia="Arial" w:hAnsi="Arial"/>
          <w:sz w:val="21"/>
          <w:szCs w:val="21"/>
        </w:rPr>
        <w:t xml:space="preserve">, y EL PROVEEDOR, como </w:t>
      </w:r>
      <w:r>
        <w:rPr>
          <w:rFonts w:ascii="Arial" w:cs="Arial" w:eastAsia="Arial" w:hAnsi="Arial"/>
          <w:b/>
          <w:bCs/>
          <w:sz w:val="21"/>
          <w:szCs w:val="21"/>
        </w:rPr>
        <w:t xml:space="preserve">encargado</w:t>
      </w:r>
      <w:r>
        <w:rPr>
          <w:rFonts w:ascii="Arial" w:cs="Arial" w:eastAsia="Arial" w:hAnsi="Arial"/>
          <w:sz w:val="21"/>
          <w:szCs w:val="21"/>
        </w:rPr>
        <w:t xml:space="preserve"> del tratamiento.</w:t>
      </w:r>
    </w:p>
    <w:p>
      <w:pPr>
        <w:keepNext/>
        <w:spacing w:after="80" w:before="200"/>
      </w:pPr>
      <w:r>
        <w:rPr>
          <w:rFonts w:ascii="Arial" w:cs="Arial" w:eastAsia="Arial" w:hAnsi="Arial"/>
          <w:b/>
          <w:bCs/>
          <w:sz w:val="22"/>
          <w:szCs w:val="22"/>
        </w:rPr>
        <w:t xml:space="preserve">1. Objeto y alcance</w:t>
      </w:r>
    </w:p>
    <w:p>
      <w:pPr>
        <w:spacing w:after="140" w:line="300"/>
        <w:jc w:val="both"/>
      </w:pPr>
      <w:r>
        <w:rPr>
          <w:rFonts w:ascii="Arial" w:cs="Arial" w:eastAsia="Arial" w:hAnsi="Arial"/>
          <w:sz w:val="21"/>
          <w:szCs w:val="21"/>
        </w:rPr>
        <w:t xml:space="preserve">EL PROVEEDOR tratará por cuenta de EL CLIENTE los Datos Personales contenidos en los Datos del Cliente, solo para prestar los Servicios y según las instrucciones documentadas de EL CLIENTE, que son este Contrato, las Órdenes de Servicio y el uso que los Usuarios Autorizados hagan de las funciones de la Plataforma.</w:t>
      </w:r>
    </w:p>
    <w:p>
      <w:pPr>
        <w:keepNext/>
        <w:spacing w:after="80" w:before="200"/>
      </w:pPr>
      <w:r>
        <w:rPr>
          <w:rFonts w:ascii="Arial" w:cs="Arial" w:eastAsia="Arial" w:hAnsi="Arial"/>
          <w:b/>
          <w:bCs/>
          <w:sz w:val="22"/>
          <w:szCs w:val="22"/>
        </w:rPr>
        <w:t xml:space="preserve">2. Datos, titulares y finalidades</w:t>
      </w:r>
    </w:p>
    <w:tbl>
      <w:tblPr>
        <w:tblW w:type="pct" w:w="100%"/>
        <w:tblBorders>
          <w:top w:val="single" w:color="BFC7D5" w:sz="4"/>
          <w:left w:val="single" w:color="BFC7D5" w:sz="4"/>
          <w:bottom w:val="single" w:color="BFC7D5" w:sz="4"/>
          <w:right w:val="single" w:color="BFC7D5" w:sz="4"/>
          <w:insideH w:val="single" w:color="BFC7D5" w:sz="4"/>
          <w:insideV w:val="single" w:color="BFC7D5" w:sz="4"/>
        </w:tblBorders>
      </w:tblPr>
      <w:tblGrid>
        <w:gridCol w:w="100"/>
        <w:gridCol w:w="100"/>
      </w:tblGrid>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Titulares</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Por ejemplo: trabajadores y contratistas de EL CLIENTE, propietarios de predios, residentes o visitantes que aparezcan en registros de obra]</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Categorías de datos</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Por ejemplo: nombre, identificación, datos de contacto, cargo, firmas, fotografías y ubicación de registros de obra]</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Finalidades</w:t>
            </w:r>
          </w:p>
        </w:tc>
        <w:tc>
          <w:tcPr>
            <w:tcMar>
              <w:top w:type="dxa" w:w="80"/>
              <w:left w:type="dxa" w:w="120"/>
              <w:bottom w:type="dxa" w:w="80"/>
              <w:right w:type="dxa" w:w="120"/>
            </w:tcMar>
          </w:tcPr>
          <w:p>
            <w:r>
              <w:rPr>
                <w:rFonts w:ascii="Arial" w:cs="Arial" w:eastAsia="Arial" w:hAnsi="Arial"/>
                <w:sz w:val="20"/>
                <w:szCs w:val="20"/>
              </w:rPr>
              <w:t xml:space="preserve">Almacenar, procesar, consultar, exportar y mostrar la información en la Plataforma para prestar los Servicios</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Duración</w:t>
            </w:r>
          </w:p>
        </w:tc>
        <w:tc>
          <w:tcPr>
            <w:tcMar>
              <w:top w:type="dxa" w:w="80"/>
              <w:left w:type="dxa" w:w="120"/>
              <w:bottom w:type="dxa" w:w="80"/>
              <w:right w:type="dxa" w:w="120"/>
            </w:tcMar>
          </w:tcPr>
          <w:p>
            <w:r>
              <w:rPr>
                <w:rFonts w:ascii="Arial" w:cs="Arial" w:eastAsia="Arial" w:hAnsi="Arial"/>
                <w:sz w:val="20"/>
                <w:szCs w:val="20"/>
              </w:rPr>
              <w:t xml:space="preserve">La vigencia del Contrato y el plazo de devolución de la cláusula 15.5</w:t>
            </w:r>
          </w:p>
        </w:tc>
      </w:tr>
    </w:tbl>
    <w:p>
      <w:pPr>
        <w:spacing w:after="120"/>
      </w:pPr>
    </w:p>
    <w:p>
      <w:pPr>
        <w:keepNext/>
        <w:spacing w:after="80" w:before="200"/>
      </w:pPr>
      <w:r>
        <w:rPr>
          <w:rFonts w:ascii="Arial" w:cs="Arial" w:eastAsia="Arial" w:hAnsi="Arial"/>
          <w:b/>
          <w:bCs/>
          <w:sz w:val="22"/>
          <w:szCs w:val="22"/>
        </w:rPr>
        <w:t xml:space="preserve">3. Obligaciones de EL PROVEEDOR como encargado</w:t>
      </w:r>
    </w:p>
    <w:p>
      <w:pPr>
        <w:spacing w:after="140" w:line="300"/>
        <w:jc w:val="both"/>
      </w:pPr>
      <w:r>
        <w:rPr>
          <w:rFonts w:ascii="Arial" w:cs="Arial" w:eastAsia="Arial" w:hAnsi="Arial"/>
          <w:sz w:val="21"/>
          <w:szCs w:val="21"/>
        </w:rPr>
        <w:t xml:space="preserve">EL PROVEEDOR cumplirá los deberes del artículo 18 de la Ley 1581 de 2012 y, en particular: (a) tratará los datos solo conforme a las instrucciones de EL CLIENTE y no los usará para fines propios, salvo los Datos Agregados anonimizados de la cláusula 7.3; (b) mantendrá las medidas de seguridad de la cláusula Undécima; (c) guardará reserva sobre los datos y exigirá lo mismo a su personal y subencargados; (d) trasladará a EL CLIENTE, dentro de los cinco (5) días hábiles siguientes a su recibo, las consultas y reclamos de los titulares que le lleguen, y lo apoyará razonablemente para responderlos en los plazos de los artículos 14 y 15 de la Ley 1581 de 2012; (e) informará a EL CLIENTE sin demora injustificada, y a más tardar dentro de los tres (3) días hábiles siguientes a que lo conozca, cualquier incidente de seguridad que afecte los datos, con la información disponible para que EL CLIENTE cumpla su deber de informar a la Superintendencia de Industria y Comercio, y (f) al terminar el Contrato devolverá o suprimirá los datos conforme a la cláusula 15.5.</w:t>
      </w:r>
    </w:p>
    <w:p>
      <w:pPr>
        <w:keepNext/>
        <w:spacing w:after="80" w:before="200"/>
      </w:pPr>
      <w:r>
        <w:rPr>
          <w:rFonts w:ascii="Arial" w:cs="Arial" w:eastAsia="Arial" w:hAnsi="Arial"/>
          <w:b/>
          <w:bCs/>
          <w:sz w:val="22"/>
          <w:szCs w:val="22"/>
        </w:rPr>
        <w:t xml:space="preserve">4. Obligaciones de EL CLIENTE como responsable</w:t>
      </w:r>
    </w:p>
    <w:p>
      <w:pPr>
        <w:spacing w:after="140" w:line="300"/>
        <w:jc w:val="both"/>
      </w:pPr>
      <w:r>
        <w:rPr>
          <w:rFonts w:ascii="Arial" w:cs="Arial" w:eastAsia="Arial" w:hAnsi="Arial"/>
          <w:sz w:val="21"/>
          <w:szCs w:val="21"/>
        </w:rPr>
        <w:t xml:space="preserve">EL CLIENTE garantiza que recolectó los datos de forma lícita, que cuenta con la autorización de los titulares cuando la ley la exige, que les informó las finalidades y la posible transmisión a encargados nacionales e internacionales, y que su política de tratamiento cubre el uso de la Plataforma.</w:t>
      </w:r>
    </w:p>
    <w:p>
      <w:pPr>
        <w:keepNext/>
        <w:spacing w:after="80" w:before="200"/>
      </w:pPr>
      <w:r>
        <w:rPr>
          <w:rFonts w:ascii="Arial" w:cs="Arial" w:eastAsia="Arial" w:hAnsi="Arial"/>
          <w:b/>
          <w:bCs/>
          <w:sz w:val="22"/>
          <w:szCs w:val="22"/>
        </w:rPr>
        <w:t xml:space="preserve">5. Subencargados y transmisión internacional</w:t>
      </w:r>
    </w:p>
    <w:p>
      <w:pPr>
        <w:spacing w:after="140" w:line="300"/>
        <w:jc w:val="both"/>
      </w:pPr>
      <w:r>
        <w:rPr>
          <w:rFonts w:ascii="Arial" w:cs="Arial" w:eastAsia="Arial" w:hAnsi="Arial"/>
          <w:sz w:val="21"/>
          <w:szCs w:val="21"/>
        </w:rPr>
        <w:t xml:space="preserve">EL CLIENTE autoriza a EL PROVEEDOR a apoyarse en los siguientes subencargados, algunos ubicados fuera de Colombia, con los que EL PROVEEDOR mantendrá obligaciones de seguridad y confidencialidad equivalentes a las de este anexo:</w:t>
      </w:r>
    </w:p>
    <w:tbl>
      <w:tblPr>
        <w:tblW w:type="pct" w:w="100%"/>
        <w:tblBorders>
          <w:top w:val="single" w:color="BFC7D5" w:sz="4"/>
          <w:left w:val="single" w:color="BFC7D5" w:sz="4"/>
          <w:bottom w:val="single" w:color="BFC7D5" w:sz="4"/>
          <w:right w:val="single" w:color="BFC7D5" w:sz="4"/>
          <w:insideH w:val="single" w:color="BFC7D5" w:sz="4"/>
          <w:insideV w:val="single" w:color="BFC7D5" w:sz="4"/>
        </w:tblBorders>
      </w:tblPr>
      <w:tblGrid>
        <w:gridCol w:w="100"/>
        <w:gridCol w:w="100"/>
      </w:tblGrid>
      <w:tr>
        <w:trPr>
          <w:tblHeader/>
        </w:trPr>
        <w:tc>
          <w:tcPr>
            <w:shd w:fill="FDEBDD" w:color="auto" w:val="clear"/>
            <w:tcMar>
              <w:top w:type="dxa" w:w="80"/>
              <w:left w:type="dxa" w:w="120"/>
              <w:bottom w:type="dxa" w:w="80"/>
              <w:right w:type="dxa" w:w="120"/>
            </w:tcMar>
          </w:tcPr>
          <w:p>
            <w:r>
              <w:rPr>
                <w:rFonts w:ascii="Arial" w:cs="Arial" w:eastAsia="Arial" w:hAnsi="Arial"/>
                <w:b/>
                <w:bCs/>
                <w:sz w:val="20"/>
                <w:szCs w:val="20"/>
              </w:rPr>
              <w:t xml:space="preserve">Proveedor</w:t>
            </w:r>
          </w:p>
        </w:tc>
        <w:tc>
          <w:tcPr>
            <w:shd w:fill="FDEBDD" w:color="auto" w:val="clear"/>
            <w:tcMar>
              <w:top w:type="dxa" w:w="80"/>
              <w:left w:type="dxa" w:w="120"/>
              <w:bottom w:type="dxa" w:w="80"/>
              <w:right w:type="dxa" w:w="120"/>
            </w:tcMar>
          </w:tcPr>
          <w:p>
            <w:r>
              <w:rPr>
                <w:rFonts w:ascii="Arial" w:cs="Arial" w:eastAsia="Arial" w:hAnsi="Arial"/>
                <w:b/>
                <w:bCs/>
                <w:sz w:val="20"/>
                <w:szCs w:val="20"/>
              </w:rPr>
              <w:t xml:space="preserve">Servicio</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Supabase</w:t>
            </w:r>
          </w:p>
        </w:tc>
        <w:tc>
          <w:tcPr>
            <w:tcMar>
              <w:top w:type="dxa" w:w="80"/>
              <w:left w:type="dxa" w:w="120"/>
              <w:bottom w:type="dxa" w:w="80"/>
              <w:right w:type="dxa" w:w="120"/>
            </w:tcMar>
          </w:tcPr>
          <w:p>
            <w:r>
              <w:rPr>
                <w:rFonts w:ascii="Arial" w:cs="Arial" w:eastAsia="Arial" w:hAnsi="Arial"/>
                <w:sz w:val="20"/>
                <w:szCs w:val="20"/>
              </w:rPr>
              <w:t xml:space="preserve">Base de datos y autenticación</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Vercel</w:t>
            </w:r>
          </w:p>
        </w:tc>
        <w:tc>
          <w:tcPr>
            <w:tcMar>
              <w:top w:type="dxa" w:w="80"/>
              <w:left w:type="dxa" w:w="120"/>
              <w:bottom w:type="dxa" w:w="80"/>
              <w:right w:type="dxa" w:w="120"/>
            </w:tcMar>
          </w:tcPr>
          <w:p>
            <w:r>
              <w:rPr>
                <w:rFonts w:ascii="Arial" w:cs="Arial" w:eastAsia="Arial" w:hAnsi="Arial"/>
                <w:sz w:val="20"/>
                <w:szCs w:val="20"/>
              </w:rPr>
              <w:t xml:space="preserve">Alojamiento de la Plataforma y funciones del servidor</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Cloudflare (R2)</w:t>
            </w:r>
          </w:p>
        </w:tc>
        <w:tc>
          <w:tcPr>
            <w:tcMar>
              <w:top w:type="dxa" w:w="80"/>
              <w:left w:type="dxa" w:w="120"/>
              <w:bottom w:type="dxa" w:w="80"/>
              <w:right w:type="dxa" w:w="120"/>
            </w:tcMar>
          </w:tcPr>
          <w:p>
            <w:r>
              <w:rPr>
                <w:rFonts w:ascii="Arial" w:cs="Arial" w:eastAsia="Arial" w:hAnsi="Arial"/>
                <w:sz w:val="20"/>
                <w:szCs w:val="20"/>
              </w:rPr>
              <w:t xml:space="preserve">Almacenamiento de archivos</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Hugging Face</w:t>
            </w:r>
          </w:p>
        </w:tc>
        <w:tc>
          <w:tcPr>
            <w:tcMar>
              <w:top w:type="dxa" w:w="80"/>
              <w:left w:type="dxa" w:w="120"/>
              <w:bottom w:type="dxa" w:w="80"/>
              <w:right w:type="dxa" w:w="120"/>
            </w:tcMar>
          </w:tcPr>
          <w:p>
            <w:r>
              <w:rPr>
                <w:rFonts w:ascii="Arial" w:cs="Arial" w:eastAsia="Arial" w:hAnsi="Arial"/>
                <w:sz w:val="20"/>
                <w:szCs w:val="20"/>
              </w:rPr>
              <w:t xml:space="preserve">Cómputo para el procesamiento GNSS PPP</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Google (Gemini)</w:t>
            </w:r>
          </w:p>
        </w:tc>
        <w:tc>
          <w:tcPr>
            <w:tcMar>
              <w:top w:type="dxa" w:w="80"/>
              <w:left w:type="dxa" w:w="120"/>
              <w:bottom w:type="dxa" w:w="80"/>
              <w:right w:type="dxa" w:w="120"/>
            </w:tcMar>
          </w:tcPr>
          <w:p>
            <w:r>
              <w:rPr>
                <w:rFonts w:ascii="Arial" w:cs="Arial" w:eastAsia="Arial" w:hAnsi="Arial"/>
                <w:sz w:val="20"/>
                <w:szCs w:val="20"/>
              </w:rPr>
              <w:t xml:space="preserve">Asistente de inteligencia artificial, solo con la información que el Usuario Autorizado le envíe</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Resend</w:t>
            </w:r>
          </w:p>
        </w:tc>
        <w:tc>
          <w:tcPr>
            <w:tcMar>
              <w:top w:type="dxa" w:w="80"/>
              <w:left w:type="dxa" w:w="120"/>
              <w:bottom w:type="dxa" w:w="80"/>
              <w:right w:type="dxa" w:w="120"/>
            </w:tcMar>
          </w:tcPr>
          <w:p>
            <w:r>
              <w:rPr>
                <w:rFonts w:ascii="Arial" w:cs="Arial" w:eastAsia="Arial" w:hAnsi="Arial"/>
                <w:sz w:val="20"/>
                <w:szCs w:val="20"/>
              </w:rPr>
              <w:t xml:space="preserve">Envío de correos del servicio</w:t>
            </w:r>
          </w:p>
        </w:tc>
      </w:tr>
    </w:tbl>
    <w:p>
      <w:pPr>
        <w:spacing w:after="120"/>
      </w:pPr>
    </w:p>
    <w:p>
      <w:pPr>
        <w:spacing w:after="140" w:line="300"/>
        <w:jc w:val="both"/>
      </w:pPr>
      <w:r>
        <w:rPr>
          <w:rFonts w:ascii="Arial" w:cs="Arial" w:eastAsia="Arial" w:hAnsi="Arial"/>
          <w:sz w:val="21"/>
          <w:szCs w:val="21"/>
        </w:rPr>
        <w:t xml:space="preserve">EL PROVEEDOR avisará a EL CLIENTE de la incorporación o reemplazo de subencargados con al menos quince (15) días calendario de anticipación; si EL CLIENTE tiene una objeción razonable y LAS PARTES no encuentran una alternativa, EL CLIENTE podrá terminar la Orden de Servicio afectada y recibir la devolución proporcional de lo pagado por anticipado.</w:t>
      </w:r>
    </w:p>
    <w:p>
      <w:pPr>
        <w:keepNext/>
        <w:spacing w:after="80" w:before="200"/>
      </w:pPr>
      <w:r>
        <w:rPr>
          <w:rFonts w:ascii="Arial" w:cs="Arial" w:eastAsia="Arial" w:hAnsi="Arial"/>
          <w:b/>
          <w:bCs/>
          <w:sz w:val="22"/>
          <w:szCs w:val="22"/>
        </w:rPr>
        <w:t xml:space="preserve">6. Verificación</w:t>
      </w:r>
    </w:p>
    <w:p>
      <w:pPr>
        <w:spacing w:after="140" w:line="300"/>
        <w:jc w:val="both"/>
      </w:pPr>
      <w:r>
        <w:rPr>
          <w:rFonts w:ascii="Arial" w:cs="Arial" w:eastAsia="Arial" w:hAnsi="Arial"/>
          <w:sz w:val="21"/>
          <w:szCs w:val="21"/>
        </w:rPr>
        <w:t xml:space="preserve">EL PROVEEDOR entregará a EL CLIENTE, a su solicitud y no más de una vez al año, la información razonable que acredite el cumplimiento de este anexo. Las revisiones adicionales se acordarán por escrito, con aviso previo, en horario hábil y sin afectar la seguridad de otros clientes.</w:t>
      </w:r>
    </w:p>
    <w:p>
      <w:r>
        <w:br w:type="page"/>
      </w:r>
    </w:p>
    <w:p>
      <w:pPr>
        <w:keepNext/>
        <w:spacing w:after="120" w:before="320"/>
      </w:pPr>
      <w:r>
        <w:rPr>
          <w:rFonts w:ascii="Arial" w:cs="Arial" w:eastAsia="Arial" w:hAnsi="Arial"/>
          <w:b/>
          <w:bCs/>
          <w:color w:val="1E293B"/>
          <w:sz w:val="23"/>
          <w:szCs w:val="23"/>
        </w:rPr>
        <w:t xml:space="preserve">ANEXO D. CONDICIONES COMPLEMENTARIAS DEL CLIENTE</w:t>
      </w:r>
    </w:p>
    <w:p>
      <w:pPr>
        <w:spacing w:after="140" w:line="300"/>
        <w:jc w:val="both"/>
      </w:pPr>
      <w:r>
        <w:rPr>
          <w:rFonts w:ascii="Arial" w:cs="Arial" w:eastAsia="Arial" w:hAnsi="Arial"/>
          <w:sz w:val="21"/>
          <w:szCs w:val="21"/>
          <w:highlight w:val="yellow"/>
          <w:highlightCs w:val="yellow"/>
        </w:rPr>
        <w:t xml:space="preserve">[● Opcional. Políticas o requisitos propios de EL CLIENTE que LAS PARTES acuerden incorporar, por ejemplo de seguridad de la información, sistemas de gestión o contratistas. Si contradicen el Contrato, prevalecerán solo si así se indica expresamente y LAS PARTES lo firman.]</w:t>
      </w:r>
    </w:p>
    <w:sectPr>
      <w:footerReference w:type="default" r:id="rId7"/>
      <w:pgSz w:w="11906" w:h="16838" w:orient="portrait"/>
      <w:pgMar w:top="1300" w:right="1400" w:bottom="13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94A3B8"/>
        <w:sz w:val="16"/>
        <w:szCs w:val="16"/>
      </w:rPr>
      <w:t xml:space="preserve">Contrato Marco de Prestación de Servicios · SurveyAI · XTopo · Página </w:t>
    </w:r>
    <w:r>
      <w:rPr>
        <w:rFonts w:ascii="Arial" w:cs="Arial" w:eastAsia="Arial" w:hAnsi="Arial"/>
        <w:color w:val="94A3B8"/>
        <w:sz w:val="16"/>
        <w:szCs w:val="16"/>
      </w:rPr>
      <w:fldChar w:fldCharType="begin"/>
      <w:instrText xml:space="preserve">PAGE</w:instrText>
      <w:fldChar w:fldCharType="separate"/>
      <w:fldChar w:fldCharType="end"/>
    </w:r>
    <w:r>
      <w:rPr>
        <w:rFonts w:ascii="Arial" w:cs="Arial" w:eastAsia="Arial" w:hAnsi="Arial"/>
        <w:color w:val="94A3B8"/>
        <w:sz w:val="16"/>
        <w:szCs w:val="16"/>
      </w:rPr>
      <w:t xml:space="preserve"> de </w:t>
    </w:r>
    <w:r>
      <w:rPr>
        <w:rFonts w:ascii="Arial" w:cs="Arial" w:eastAsia="Arial" w:hAnsi="Arial"/>
        <w:color w:val="94A3B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Marco de Prestación de Servicios (MSA)</dc:title>
  <dc:creator>SurveyAI · XTopo</dc:creator>
  <dc:description>Contrato marco para empresas y entidades que contratan SurveyAI · XTopo: suscripción a la plataforma, servicios profesionales, soporte, datos personales (Ley 1581 de 2012), propiedad intelectual y responsabilidad. Plantilla descargable en Word.</dc:description>
  <cp:lastModifiedBy>Un-named</cp:lastModifiedBy>
  <cp:revision>1</cp:revision>
  <dcterms:created xsi:type="dcterms:W3CDTF">2026-10-07T19:33:53.218Z</dcterms:created>
  <dcterms:modified xsi:type="dcterms:W3CDTF">2026-10-07T19:33:53.221Z</dcterms:modified>
</cp:coreProperties>
</file>

<file path=docProps/custom.xml><?xml version="1.0" encoding="utf-8"?>
<Properties xmlns="http://schemas.openxmlformats.org/officeDocument/2006/custom-properties" xmlns:vt="http://schemas.openxmlformats.org/officeDocument/2006/docPropsVTypes"/>
</file>